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8C3D4" w14:textId="0017AD1E" w:rsidR="00E32DEF" w:rsidRPr="00CF0CC0" w:rsidRDefault="00CF0CC0" w:rsidP="00CF0CC0">
      <w:pPr>
        <w:jc w:val="center"/>
        <w:rPr>
          <w:rFonts w:ascii="Times New Roman" w:hAnsi="Times New Roman" w:cs="Times New Roman"/>
          <w:color w:val="0070C0"/>
          <w:sz w:val="32"/>
          <w:szCs w:val="32"/>
        </w:rPr>
      </w:pPr>
      <w:r w:rsidRPr="00CF0CC0">
        <w:rPr>
          <w:rFonts w:ascii="Times New Roman" w:hAnsi="Times New Roman" w:cs="Times New Roman"/>
          <w:b/>
          <w:bCs/>
          <w:sz w:val="32"/>
          <w:szCs w:val="32"/>
        </w:rPr>
        <w:t>COMUNE DI LAVARONE</w:t>
      </w:r>
    </w:p>
    <w:p w14:paraId="6EE3D572" w14:textId="2DF91A74" w:rsidR="00E32DEF" w:rsidRPr="00E32DEF" w:rsidRDefault="00E32DEF" w:rsidP="00BB6AEB">
      <w:pPr>
        <w:jc w:val="center"/>
        <w:rPr>
          <w:rFonts w:ascii="Times New Roman" w:hAnsi="Times New Roman" w:cs="Times New Roman"/>
          <w:b/>
          <w:bCs/>
          <w:sz w:val="24"/>
          <w:szCs w:val="24"/>
        </w:rPr>
      </w:pPr>
      <w:r w:rsidRPr="00E32DEF">
        <w:rPr>
          <w:rFonts w:ascii="Times New Roman" w:hAnsi="Times New Roman" w:cs="Times New Roman"/>
          <w:b/>
          <w:bCs/>
          <w:sz w:val="24"/>
          <w:szCs w:val="24"/>
        </w:rPr>
        <w:t>Provincia Autonoma di Trento</w:t>
      </w:r>
    </w:p>
    <w:p w14:paraId="4878B253" w14:textId="595E005A" w:rsidR="00E32DEF" w:rsidRPr="00E32DEF" w:rsidRDefault="00E32DEF" w:rsidP="00BB6AEB">
      <w:pPr>
        <w:jc w:val="center"/>
        <w:rPr>
          <w:rFonts w:ascii="Times New Roman" w:hAnsi="Times New Roman" w:cs="Times New Roman"/>
          <w:sz w:val="24"/>
          <w:szCs w:val="24"/>
        </w:rPr>
      </w:pPr>
    </w:p>
    <w:p w14:paraId="0640739C" w14:textId="719FE543" w:rsidR="00E32DEF" w:rsidRPr="00E32DEF" w:rsidRDefault="00E32DEF" w:rsidP="00BB6AEB">
      <w:pPr>
        <w:jc w:val="center"/>
        <w:rPr>
          <w:rFonts w:ascii="Times New Roman" w:hAnsi="Times New Roman" w:cs="Times New Roman"/>
          <w:sz w:val="24"/>
          <w:szCs w:val="24"/>
        </w:rPr>
      </w:pPr>
    </w:p>
    <w:p w14:paraId="1E2B2105" w14:textId="532BFF38" w:rsidR="00E32DEF" w:rsidRDefault="00E32DEF" w:rsidP="00BB6AEB">
      <w:pPr>
        <w:jc w:val="center"/>
        <w:rPr>
          <w:rFonts w:ascii="Times New Roman" w:hAnsi="Times New Roman" w:cs="Times New Roman"/>
          <w:sz w:val="24"/>
          <w:szCs w:val="24"/>
        </w:rPr>
      </w:pPr>
      <w:r w:rsidRPr="00E32DEF">
        <w:rPr>
          <w:rFonts w:ascii="Times New Roman" w:hAnsi="Times New Roman" w:cs="Times New Roman"/>
          <w:sz w:val="24"/>
          <w:szCs w:val="24"/>
        </w:rPr>
        <w:t>Le</w:t>
      </w:r>
      <w:r>
        <w:rPr>
          <w:rFonts w:ascii="Times New Roman" w:hAnsi="Times New Roman" w:cs="Times New Roman"/>
          <w:sz w:val="24"/>
          <w:szCs w:val="24"/>
        </w:rPr>
        <w:t>gge n. 190 del 06/11/2012</w:t>
      </w:r>
    </w:p>
    <w:p w14:paraId="59EAF291" w14:textId="25687BBF" w:rsidR="00E32DEF" w:rsidRDefault="00E32DEF" w:rsidP="00BB6AEB">
      <w:pPr>
        <w:jc w:val="center"/>
        <w:rPr>
          <w:rFonts w:ascii="Times New Roman" w:hAnsi="Times New Roman" w:cs="Times New Roman"/>
          <w:sz w:val="24"/>
          <w:szCs w:val="24"/>
        </w:rPr>
      </w:pPr>
    </w:p>
    <w:p w14:paraId="34600469" w14:textId="1A74D72B" w:rsidR="00E32DEF" w:rsidRDefault="00E32DEF" w:rsidP="00E32DEF">
      <w:pPr>
        <w:jc w:val="center"/>
        <w:rPr>
          <w:rFonts w:ascii="Times New Roman" w:hAnsi="Times New Roman" w:cs="Times New Roman"/>
          <w:sz w:val="24"/>
          <w:szCs w:val="24"/>
        </w:rPr>
      </w:pPr>
      <w:r>
        <w:rPr>
          <w:rFonts w:ascii="Times New Roman" w:hAnsi="Times New Roman" w:cs="Times New Roman"/>
          <w:sz w:val="24"/>
          <w:szCs w:val="24"/>
        </w:rPr>
        <w:t>Disposizioni per la prevenzione e la repressione della corruzione e dell’illegalità nella pubblica amministrazione</w:t>
      </w:r>
    </w:p>
    <w:p w14:paraId="0F6F5887" w14:textId="575D0387" w:rsidR="00E32DEF" w:rsidRDefault="00E32DEF" w:rsidP="00E32DEF">
      <w:pPr>
        <w:jc w:val="center"/>
        <w:rPr>
          <w:rFonts w:ascii="Times New Roman" w:hAnsi="Times New Roman" w:cs="Times New Roman"/>
          <w:b/>
          <w:bCs/>
          <w:sz w:val="30"/>
          <w:szCs w:val="30"/>
        </w:rPr>
      </w:pPr>
    </w:p>
    <w:p w14:paraId="265D376C" w14:textId="77777777" w:rsidR="00E32DEF" w:rsidRPr="00E32DEF" w:rsidRDefault="00E32DEF" w:rsidP="00E32DEF">
      <w:pPr>
        <w:jc w:val="center"/>
        <w:rPr>
          <w:rFonts w:ascii="Times New Roman" w:hAnsi="Times New Roman" w:cs="Times New Roman"/>
          <w:b/>
          <w:bCs/>
          <w:sz w:val="30"/>
          <w:szCs w:val="30"/>
        </w:rPr>
      </w:pPr>
    </w:p>
    <w:p w14:paraId="41362631" w14:textId="3C5B8E7B" w:rsidR="00E32DEF" w:rsidRPr="00E32DEF" w:rsidRDefault="00E32DEF" w:rsidP="00E32DEF">
      <w:pPr>
        <w:jc w:val="center"/>
        <w:rPr>
          <w:rFonts w:ascii="Times New Roman" w:hAnsi="Times New Roman" w:cs="Times New Roman"/>
          <w:b/>
          <w:bCs/>
          <w:sz w:val="30"/>
          <w:szCs w:val="30"/>
        </w:rPr>
      </w:pPr>
      <w:r w:rsidRPr="00E32DEF">
        <w:rPr>
          <w:rFonts w:ascii="Times New Roman" w:hAnsi="Times New Roman" w:cs="Times New Roman"/>
          <w:b/>
          <w:bCs/>
          <w:sz w:val="30"/>
          <w:szCs w:val="30"/>
        </w:rPr>
        <w:t xml:space="preserve">PIANO TRIENNALE PER LA PREVENZIONE DELLA CORRUZIONE E PER LA TRASPARENZA </w:t>
      </w:r>
      <w:r>
        <w:rPr>
          <w:rFonts w:ascii="Times New Roman" w:hAnsi="Times New Roman" w:cs="Times New Roman"/>
          <w:b/>
          <w:bCs/>
          <w:sz w:val="30"/>
          <w:szCs w:val="30"/>
        </w:rPr>
        <w:t>(</w:t>
      </w:r>
      <w:r w:rsidRPr="00E32DEF">
        <w:rPr>
          <w:rFonts w:ascii="Times New Roman" w:hAnsi="Times New Roman" w:cs="Times New Roman"/>
          <w:b/>
          <w:bCs/>
          <w:sz w:val="30"/>
          <w:szCs w:val="30"/>
        </w:rPr>
        <w:t>2021-2023</w:t>
      </w:r>
      <w:r>
        <w:rPr>
          <w:rFonts w:ascii="Times New Roman" w:hAnsi="Times New Roman" w:cs="Times New Roman"/>
          <w:b/>
          <w:bCs/>
          <w:sz w:val="30"/>
          <w:szCs w:val="30"/>
        </w:rPr>
        <w:t>)</w:t>
      </w:r>
    </w:p>
    <w:p w14:paraId="53D22DDC" w14:textId="1F75E63E" w:rsidR="00E32DEF" w:rsidRDefault="00E32DEF" w:rsidP="00E32DEF">
      <w:pPr>
        <w:jc w:val="center"/>
        <w:rPr>
          <w:rFonts w:ascii="Times New Roman" w:hAnsi="Times New Roman" w:cs="Times New Roman"/>
          <w:sz w:val="24"/>
          <w:szCs w:val="24"/>
        </w:rPr>
      </w:pPr>
    </w:p>
    <w:p w14:paraId="090E9F09" w14:textId="10F7CCD4" w:rsidR="00E32DEF" w:rsidRDefault="00E32DEF" w:rsidP="00E32DEF">
      <w:pPr>
        <w:jc w:val="center"/>
        <w:rPr>
          <w:rFonts w:ascii="Times New Roman" w:hAnsi="Times New Roman" w:cs="Times New Roman"/>
          <w:sz w:val="24"/>
          <w:szCs w:val="24"/>
        </w:rPr>
      </w:pPr>
    </w:p>
    <w:p w14:paraId="0D79891B" w14:textId="0A8D8B1B" w:rsidR="00E32DEF" w:rsidRDefault="00E32DEF" w:rsidP="00E32DEF">
      <w:pPr>
        <w:jc w:val="center"/>
        <w:rPr>
          <w:rFonts w:ascii="Times New Roman" w:hAnsi="Times New Roman" w:cs="Times New Roman"/>
          <w:sz w:val="24"/>
          <w:szCs w:val="24"/>
        </w:rPr>
      </w:pPr>
    </w:p>
    <w:p w14:paraId="731E4A6C" w14:textId="6C19F33D" w:rsidR="00E32DEF" w:rsidRDefault="00E32DEF" w:rsidP="00E32DEF">
      <w:pPr>
        <w:jc w:val="center"/>
        <w:rPr>
          <w:rFonts w:ascii="Times New Roman" w:hAnsi="Times New Roman" w:cs="Times New Roman"/>
          <w:sz w:val="24"/>
          <w:szCs w:val="24"/>
        </w:rPr>
      </w:pPr>
    </w:p>
    <w:p w14:paraId="3A955B7A" w14:textId="0EE33BF4" w:rsidR="00E32DEF" w:rsidRDefault="00E32DEF" w:rsidP="00E32DEF">
      <w:pPr>
        <w:jc w:val="center"/>
        <w:rPr>
          <w:rFonts w:ascii="Times New Roman" w:hAnsi="Times New Roman" w:cs="Times New Roman"/>
          <w:sz w:val="24"/>
          <w:szCs w:val="24"/>
        </w:rPr>
      </w:pPr>
    </w:p>
    <w:p w14:paraId="3E7FB0F2" w14:textId="43B3FB52" w:rsidR="00E32DEF" w:rsidRDefault="00E32DEF" w:rsidP="00E32DEF">
      <w:pPr>
        <w:jc w:val="center"/>
        <w:rPr>
          <w:rFonts w:ascii="Times New Roman" w:hAnsi="Times New Roman" w:cs="Times New Roman"/>
          <w:sz w:val="24"/>
          <w:szCs w:val="24"/>
        </w:rPr>
      </w:pPr>
    </w:p>
    <w:p w14:paraId="6ABD5699" w14:textId="7CB0154D" w:rsidR="00E32DEF" w:rsidRDefault="00E32DEF" w:rsidP="00E32DEF">
      <w:pPr>
        <w:jc w:val="center"/>
        <w:rPr>
          <w:rFonts w:ascii="Times New Roman" w:hAnsi="Times New Roman" w:cs="Times New Roman"/>
          <w:sz w:val="24"/>
          <w:szCs w:val="24"/>
        </w:rPr>
      </w:pPr>
    </w:p>
    <w:p w14:paraId="0A2E367E" w14:textId="29ED3BA5" w:rsidR="00E32DEF" w:rsidRDefault="00E32DEF" w:rsidP="00E32DEF">
      <w:pPr>
        <w:jc w:val="center"/>
        <w:rPr>
          <w:rFonts w:ascii="Times New Roman" w:hAnsi="Times New Roman" w:cs="Times New Roman"/>
          <w:sz w:val="24"/>
          <w:szCs w:val="24"/>
        </w:rPr>
      </w:pPr>
    </w:p>
    <w:p w14:paraId="0D15E171" w14:textId="1B765DE1" w:rsidR="00E32DEF" w:rsidRDefault="00E32DEF" w:rsidP="00E32DEF">
      <w:pPr>
        <w:jc w:val="center"/>
        <w:rPr>
          <w:rFonts w:ascii="Times New Roman" w:hAnsi="Times New Roman" w:cs="Times New Roman"/>
          <w:sz w:val="24"/>
          <w:szCs w:val="24"/>
        </w:rPr>
      </w:pPr>
    </w:p>
    <w:p w14:paraId="26FC5290" w14:textId="38F81F47" w:rsidR="00E32DEF" w:rsidRDefault="00E32DEF" w:rsidP="00E32DEF">
      <w:pPr>
        <w:jc w:val="center"/>
        <w:rPr>
          <w:rFonts w:ascii="Times New Roman" w:hAnsi="Times New Roman" w:cs="Times New Roman"/>
          <w:sz w:val="24"/>
          <w:szCs w:val="24"/>
        </w:rPr>
      </w:pPr>
    </w:p>
    <w:p w14:paraId="21D4ACC7" w14:textId="76F51ACB" w:rsidR="00E32DEF" w:rsidRDefault="00E32DEF" w:rsidP="00E32DEF">
      <w:pPr>
        <w:jc w:val="center"/>
        <w:rPr>
          <w:rFonts w:ascii="Times New Roman" w:hAnsi="Times New Roman" w:cs="Times New Roman"/>
          <w:sz w:val="24"/>
          <w:szCs w:val="24"/>
        </w:rPr>
      </w:pPr>
    </w:p>
    <w:p w14:paraId="3411C90B" w14:textId="295A8908" w:rsidR="00E32DEF" w:rsidRDefault="00E32DEF" w:rsidP="00E32DEF">
      <w:pPr>
        <w:jc w:val="center"/>
        <w:rPr>
          <w:rFonts w:ascii="Times New Roman" w:hAnsi="Times New Roman" w:cs="Times New Roman"/>
          <w:sz w:val="24"/>
          <w:szCs w:val="24"/>
        </w:rPr>
      </w:pPr>
    </w:p>
    <w:p w14:paraId="1147D02D" w14:textId="0B0A00C7" w:rsidR="00E32DEF" w:rsidRDefault="00E32DEF" w:rsidP="00E32DEF">
      <w:pPr>
        <w:jc w:val="center"/>
        <w:rPr>
          <w:rFonts w:ascii="Times New Roman" w:hAnsi="Times New Roman" w:cs="Times New Roman"/>
          <w:sz w:val="24"/>
          <w:szCs w:val="24"/>
        </w:rPr>
      </w:pPr>
    </w:p>
    <w:p w14:paraId="19CC8F23" w14:textId="579BF812" w:rsidR="00E32DEF" w:rsidRDefault="00E32DEF" w:rsidP="00E32DEF">
      <w:pPr>
        <w:jc w:val="center"/>
        <w:rPr>
          <w:rFonts w:ascii="Times New Roman" w:hAnsi="Times New Roman" w:cs="Times New Roman"/>
          <w:sz w:val="24"/>
          <w:szCs w:val="24"/>
        </w:rPr>
      </w:pPr>
    </w:p>
    <w:p w14:paraId="1588B9E3" w14:textId="394FE9CB" w:rsidR="00E32DEF" w:rsidRDefault="00E32DEF" w:rsidP="00E32DEF">
      <w:pPr>
        <w:jc w:val="center"/>
        <w:rPr>
          <w:rFonts w:ascii="Times New Roman" w:hAnsi="Times New Roman" w:cs="Times New Roman"/>
          <w:sz w:val="24"/>
          <w:szCs w:val="24"/>
        </w:rPr>
      </w:pPr>
    </w:p>
    <w:p w14:paraId="49C8F0A7" w14:textId="3CC523B0" w:rsidR="00E32DEF" w:rsidRDefault="00E32DEF" w:rsidP="00E32DEF">
      <w:pPr>
        <w:jc w:val="center"/>
        <w:rPr>
          <w:rFonts w:ascii="Times New Roman" w:hAnsi="Times New Roman" w:cs="Times New Roman"/>
          <w:sz w:val="24"/>
          <w:szCs w:val="24"/>
        </w:rPr>
      </w:pPr>
    </w:p>
    <w:p w14:paraId="71F6FBCA" w14:textId="2B2660F5" w:rsidR="00E32DEF" w:rsidRDefault="00E32DEF" w:rsidP="00E32DEF">
      <w:pPr>
        <w:jc w:val="center"/>
        <w:rPr>
          <w:rFonts w:ascii="Times New Roman" w:hAnsi="Times New Roman" w:cs="Times New Roman"/>
          <w:sz w:val="24"/>
          <w:szCs w:val="24"/>
        </w:rPr>
      </w:pPr>
    </w:p>
    <w:p w14:paraId="5E2848E2" w14:textId="4A80F059" w:rsidR="00E32DEF" w:rsidRDefault="00E32DEF" w:rsidP="00E32DEF">
      <w:pPr>
        <w:jc w:val="center"/>
        <w:rPr>
          <w:rFonts w:ascii="Times New Roman" w:hAnsi="Times New Roman" w:cs="Times New Roman"/>
          <w:sz w:val="24"/>
          <w:szCs w:val="24"/>
        </w:rPr>
      </w:pPr>
    </w:p>
    <w:p w14:paraId="4F9175E6" w14:textId="1A64E428" w:rsidR="00E32DEF" w:rsidRDefault="00E32DEF" w:rsidP="00E32DEF">
      <w:pPr>
        <w:jc w:val="center"/>
        <w:rPr>
          <w:rFonts w:ascii="Times New Roman" w:hAnsi="Times New Roman" w:cs="Times New Roman"/>
          <w:sz w:val="24"/>
          <w:szCs w:val="24"/>
        </w:rPr>
      </w:pPr>
    </w:p>
    <w:p w14:paraId="2B917FB7" w14:textId="39B5568E" w:rsidR="00E32DEF" w:rsidRDefault="008244FB" w:rsidP="00E32DEF">
      <w:pPr>
        <w:jc w:val="both"/>
        <w:rPr>
          <w:rFonts w:ascii="Times New Roman" w:hAnsi="Times New Roman" w:cs="Times New Roman"/>
          <w:sz w:val="24"/>
          <w:szCs w:val="24"/>
        </w:rPr>
      </w:pPr>
      <w:r>
        <w:rPr>
          <w:rFonts w:ascii="Times New Roman" w:hAnsi="Times New Roman" w:cs="Times New Roman"/>
          <w:sz w:val="24"/>
          <w:szCs w:val="24"/>
        </w:rPr>
        <w:lastRenderedPageBreak/>
        <w:t>INDICE</w:t>
      </w:r>
    </w:p>
    <w:p w14:paraId="11B208AD" w14:textId="6339368E" w:rsidR="00E32DEF" w:rsidRDefault="00E222DF" w:rsidP="007501D7">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OGGETTO E FINALITÀ….</w:t>
      </w:r>
      <w:r w:rsidR="00CB7C83">
        <w:rPr>
          <w:rFonts w:ascii="Times New Roman" w:hAnsi="Times New Roman" w:cs="Times New Roman"/>
          <w:sz w:val="24"/>
          <w:szCs w:val="24"/>
        </w:rPr>
        <w:t>…………………………………………………………………</w:t>
      </w:r>
      <w:r w:rsidR="00CF0CC0">
        <w:rPr>
          <w:rFonts w:ascii="Times New Roman" w:hAnsi="Times New Roman" w:cs="Times New Roman"/>
          <w:sz w:val="24"/>
          <w:szCs w:val="24"/>
        </w:rPr>
        <w:t>3</w:t>
      </w:r>
    </w:p>
    <w:p w14:paraId="3D2984B2" w14:textId="7B59EEE8" w:rsidR="00E222DF" w:rsidRDefault="00E222DF" w:rsidP="007501D7">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CONTESTO INTERNO…...…………………………………………………………………</w:t>
      </w:r>
      <w:r w:rsidR="00CF0CC0">
        <w:rPr>
          <w:rFonts w:ascii="Times New Roman" w:hAnsi="Times New Roman" w:cs="Times New Roman"/>
          <w:sz w:val="24"/>
          <w:szCs w:val="24"/>
        </w:rPr>
        <w:t>3</w:t>
      </w:r>
    </w:p>
    <w:p w14:paraId="63530B19" w14:textId="610EEDCC" w:rsidR="00E222DF" w:rsidRDefault="00E222DF" w:rsidP="007501D7">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CONTESTO ESTERNO......…………………………………………………………………</w:t>
      </w:r>
      <w:r w:rsidR="00CF0CC0">
        <w:rPr>
          <w:rFonts w:ascii="Times New Roman" w:hAnsi="Times New Roman" w:cs="Times New Roman"/>
          <w:sz w:val="24"/>
          <w:szCs w:val="24"/>
        </w:rPr>
        <w:t>6</w:t>
      </w:r>
    </w:p>
    <w:p w14:paraId="20010CC1" w14:textId="7B672EF8" w:rsidR="00E222DF" w:rsidRPr="00F604F2" w:rsidRDefault="00C70CE3" w:rsidP="007501D7">
      <w:pPr>
        <w:pStyle w:val="Paragrafoelenco"/>
        <w:numPr>
          <w:ilvl w:val="0"/>
          <w:numId w:val="1"/>
        </w:numPr>
        <w:suppressAutoHyphens/>
        <w:spacing w:before="100" w:after="0" w:line="100" w:lineRule="atLeast"/>
        <w:jc w:val="both"/>
        <w:rPr>
          <w:rFonts w:ascii="Times New Roman" w:hAnsi="Times New Roman" w:cs="Times New Roman"/>
          <w:sz w:val="24"/>
          <w:szCs w:val="24"/>
        </w:rPr>
      </w:pPr>
      <w:r w:rsidRPr="00F604F2">
        <w:rPr>
          <w:rFonts w:ascii="Times New Roman" w:hAnsi="Times New Roman" w:cs="Times New Roman"/>
          <w:sz w:val="24"/>
          <w:szCs w:val="24"/>
        </w:rPr>
        <w:t>QUADRO DI RIFERIMENTO…………………………………</w:t>
      </w:r>
      <w:r w:rsidR="00F604F2">
        <w:rPr>
          <w:rFonts w:ascii="Times New Roman" w:hAnsi="Times New Roman" w:cs="Times New Roman"/>
          <w:sz w:val="24"/>
          <w:szCs w:val="24"/>
        </w:rPr>
        <w:t>...</w:t>
      </w:r>
      <w:r w:rsidRPr="00F604F2">
        <w:rPr>
          <w:rFonts w:ascii="Times New Roman" w:hAnsi="Times New Roman" w:cs="Times New Roman"/>
          <w:sz w:val="24"/>
          <w:szCs w:val="24"/>
        </w:rPr>
        <w:t>………………</w:t>
      </w:r>
      <w:r w:rsidR="00F20C02" w:rsidRPr="00F604F2">
        <w:rPr>
          <w:rFonts w:ascii="Times New Roman" w:hAnsi="Times New Roman" w:cs="Times New Roman"/>
          <w:sz w:val="24"/>
          <w:szCs w:val="24"/>
        </w:rPr>
        <w:t>………</w:t>
      </w:r>
      <w:r w:rsidR="00F604F2">
        <w:rPr>
          <w:rFonts w:ascii="Times New Roman" w:hAnsi="Times New Roman" w:cs="Times New Roman"/>
          <w:sz w:val="24"/>
          <w:szCs w:val="24"/>
        </w:rPr>
        <w:t>...</w:t>
      </w:r>
      <w:r w:rsidR="00F20C02">
        <w:rPr>
          <w:rFonts w:ascii="Times New Roman" w:hAnsi="Times New Roman" w:cs="Times New Roman"/>
          <w:sz w:val="24"/>
          <w:szCs w:val="24"/>
        </w:rPr>
        <w:t>1</w:t>
      </w:r>
      <w:r w:rsidR="00CF0CC0">
        <w:rPr>
          <w:rFonts w:ascii="Times New Roman" w:hAnsi="Times New Roman" w:cs="Times New Roman"/>
          <w:sz w:val="24"/>
          <w:szCs w:val="24"/>
        </w:rPr>
        <w:t>2</w:t>
      </w:r>
    </w:p>
    <w:p w14:paraId="3F3AD34B" w14:textId="4F33900D" w:rsidR="00F604F2" w:rsidRPr="00F604F2" w:rsidRDefault="00F604F2" w:rsidP="007501D7">
      <w:pPr>
        <w:pStyle w:val="Paragrafoelenco"/>
        <w:numPr>
          <w:ilvl w:val="0"/>
          <w:numId w:val="1"/>
        </w:numPr>
        <w:suppressAutoHyphens/>
        <w:spacing w:before="100" w:after="0" w:line="100" w:lineRule="atLeast"/>
        <w:jc w:val="both"/>
        <w:rPr>
          <w:rFonts w:ascii="Times New Roman" w:hAnsi="Times New Roman" w:cs="Times New Roman"/>
          <w:sz w:val="24"/>
          <w:szCs w:val="24"/>
        </w:rPr>
      </w:pPr>
      <w:r>
        <w:rPr>
          <w:rFonts w:ascii="Times New Roman" w:hAnsi="Times New Roman" w:cs="Times New Roman"/>
          <w:sz w:val="24"/>
          <w:szCs w:val="24"/>
        </w:rPr>
        <w:t>IL PROCESSO DI APPROVAZIONE</w:t>
      </w:r>
      <w:r w:rsidRPr="00F604F2">
        <w:rPr>
          <w:rFonts w:ascii="Times New Roman" w:hAnsi="Times New Roman" w:cs="Times New Roman"/>
          <w:sz w:val="24"/>
          <w:szCs w:val="24"/>
        </w:rPr>
        <w:t>…………………………</w:t>
      </w:r>
      <w:r>
        <w:rPr>
          <w:rFonts w:ascii="Times New Roman" w:hAnsi="Times New Roman" w:cs="Times New Roman"/>
          <w:sz w:val="24"/>
          <w:szCs w:val="24"/>
        </w:rPr>
        <w:t>...</w:t>
      </w:r>
      <w:r w:rsidRPr="00F604F2">
        <w:rPr>
          <w:rFonts w:ascii="Times New Roman" w:hAnsi="Times New Roman" w:cs="Times New Roman"/>
          <w:sz w:val="24"/>
          <w:szCs w:val="24"/>
        </w:rPr>
        <w:t>………………………</w:t>
      </w:r>
      <w:r>
        <w:rPr>
          <w:rFonts w:ascii="Times New Roman" w:hAnsi="Times New Roman" w:cs="Times New Roman"/>
          <w:sz w:val="24"/>
          <w:szCs w:val="24"/>
        </w:rPr>
        <w:t>...1</w:t>
      </w:r>
      <w:r w:rsidR="00CF0CC0">
        <w:rPr>
          <w:rFonts w:ascii="Times New Roman" w:hAnsi="Times New Roman" w:cs="Times New Roman"/>
          <w:sz w:val="24"/>
          <w:szCs w:val="24"/>
        </w:rPr>
        <w:t>3</w:t>
      </w:r>
    </w:p>
    <w:p w14:paraId="4EC8BD43" w14:textId="53E1231C" w:rsidR="00F604F2" w:rsidRPr="00F604F2" w:rsidRDefault="00F604F2" w:rsidP="007501D7">
      <w:pPr>
        <w:pStyle w:val="Paragrafoelenco"/>
        <w:numPr>
          <w:ilvl w:val="0"/>
          <w:numId w:val="1"/>
        </w:numPr>
        <w:suppressAutoHyphens/>
        <w:spacing w:before="100" w:after="0" w:line="100" w:lineRule="atLeast"/>
        <w:jc w:val="both"/>
        <w:rPr>
          <w:rFonts w:ascii="Times New Roman" w:hAnsi="Times New Roman" w:cs="Times New Roman"/>
          <w:sz w:val="24"/>
          <w:szCs w:val="24"/>
        </w:rPr>
      </w:pPr>
      <w:r>
        <w:rPr>
          <w:rFonts w:ascii="Times New Roman" w:hAnsi="Times New Roman" w:cs="Times New Roman"/>
          <w:sz w:val="24"/>
          <w:szCs w:val="24"/>
        </w:rPr>
        <w:t>IL RUOLO DEL RESPONSABILE PER LA PREVENZIONE DELLA CORRUZIONE E PER LA TRASPARENZA…………………………...</w:t>
      </w:r>
      <w:r w:rsidRPr="00F604F2">
        <w:rPr>
          <w:rFonts w:ascii="Times New Roman" w:hAnsi="Times New Roman" w:cs="Times New Roman"/>
          <w:sz w:val="24"/>
          <w:szCs w:val="24"/>
        </w:rPr>
        <w:t>…………</w:t>
      </w:r>
      <w:r>
        <w:rPr>
          <w:rFonts w:ascii="Times New Roman" w:hAnsi="Times New Roman" w:cs="Times New Roman"/>
          <w:sz w:val="24"/>
          <w:szCs w:val="24"/>
        </w:rPr>
        <w:t>...</w:t>
      </w:r>
      <w:r w:rsidRPr="00F604F2">
        <w:rPr>
          <w:rFonts w:ascii="Times New Roman" w:hAnsi="Times New Roman" w:cs="Times New Roman"/>
          <w:sz w:val="24"/>
          <w:szCs w:val="24"/>
        </w:rPr>
        <w:t>………………………</w:t>
      </w:r>
      <w:r>
        <w:rPr>
          <w:rFonts w:ascii="Times New Roman" w:hAnsi="Times New Roman" w:cs="Times New Roman"/>
          <w:sz w:val="24"/>
          <w:szCs w:val="24"/>
        </w:rPr>
        <w:t>...1</w:t>
      </w:r>
      <w:r w:rsidR="00CF0CC0">
        <w:rPr>
          <w:rFonts w:ascii="Times New Roman" w:hAnsi="Times New Roman" w:cs="Times New Roman"/>
          <w:sz w:val="24"/>
          <w:szCs w:val="24"/>
        </w:rPr>
        <w:t>3</w:t>
      </w:r>
    </w:p>
    <w:p w14:paraId="06118517" w14:textId="2B4851BB" w:rsidR="00F604F2" w:rsidRPr="00F604F2" w:rsidRDefault="007501D7" w:rsidP="007501D7">
      <w:pPr>
        <w:pStyle w:val="Paragrafoelenco"/>
        <w:numPr>
          <w:ilvl w:val="0"/>
          <w:numId w:val="1"/>
        </w:numPr>
        <w:suppressAutoHyphens/>
        <w:spacing w:before="100" w:after="0" w:line="100" w:lineRule="atLeast"/>
        <w:jc w:val="both"/>
        <w:rPr>
          <w:rFonts w:ascii="Times New Roman" w:hAnsi="Times New Roman" w:cs="Times New Roman"/>
          <w:sz w:val="24"/>
          <w:szCs w:val="24"/>
        </w:rPr>
      </w:pPr>
      <w:r>
        <w:rPr>
          <w:rFonts w:ascii="Times New Roman" w:hAnsi="Times New Roman" w:cs="Times New Roman"/>
          <w:sz w:val="24"/>
          <w:szCs w:val="24"/>
        </w:rPr>
        <w:t>IL COORDINAMENTO CON GLI STRUMENTI DI PROGRAMMAZIONE………</w:t>
      </w:r>
      <w:r w:rsidR="00F604F2" w:rsidRPr="00F604F2">
        <w:rPr>
          <w:rFonts w:ascii="Times New Roman" w:hAnsi="Times New Roman" w:cs="Times New Roman"/>
          <w:sz w:val="24"/>
          <w:szCs w:val="24"/>
        </w:rPr>
        <w:t>…………………………………</w:t>
      </w:r>
      <w:r w:rsidR="00F604F2">
        <w:rPr>
          <w:rFonts w:ascii="Times New Roman" w:hAnsi="Times New Roman" w:cs="Times New Roman"/>
          <w:sz w:val="24"/>
          <w:szCs w:val="24"/>
        </w:rPr>
        <w:t>...</w:t>
      </w:r>
      <w:r w:rsidR="00F604F2" w:rsidRPr="00F604F2">
        <w:rPr>
          <w:rFonts w:ascii="Times New Roman" w:hAnsi="Times New Roman" w:cs="Times New Roman"/>
          <w:sz w:val="24"/>
          <w:szCs w:val="24"/>
        </w:rPr>
        <w:t>………………………</w:t>
      </w:r>
      <w:r w:rsidR="00F604F2">
        <w:rPr>
          <w:rFonts w:ascii="Times New Roman" w:hAnsi="Times New Roman" w:cs="Times New Roman"/>
          <w:sz w:val="24"/>
          <w:szCs w:val="24"/>
        </w:rPr>
        <w:t>...</w:t>
      </w:r>
      <w:r w:rsidR="008244FB">
        <w:rPr>
          <w:rFonts w:ascii="Times New Roman" w:hAnsi="Times New Roman" w:cs="Times New Roman"/>
          <w:sz w:val="24"/>
          <w:szCs w:val="24"/>
        </w:rPr>
        <w:t>1</w:t>
      </w:r>
      <w:r w:rsidR="00CF0CC0">
        <w:rPr>
          <w:rFonts w:ascii="Times New Roman" w:hAnsi="Times New Roman" w:cs="Times New Roman"/>
          <w:sz w:val="24"/>
          <w:szCs w:val="24"/>
        </w:rPr>
        <w:t>4</w:t>
      </w:r>
    </w:p>
    <w:p w14:paraId="692B7D59" w14:textId="5925146D" w:rsidR="00F604F2" w:rsidRPr="00F604F2" w:rsidRDefault="007501D7" w:rsidP="007501D7">
      <w:pPr>
        <w:pStyle w:val="Paragrafoelenco"/>
        <w:numPr>
          <w:ilvl w:val="0"/>
          <w:numId w:val="1"/>
        </w:numPr>
        <w:suppressAutoHyphens/>
        <w:spacing w:before="100" w:after="0" w:line="100" w:lineRule="atLeast"/>
        <w:jc w:val="both"/>
        <w:rPr>
          <w:rFonts w:ascii="Times New Roman" w:hAnsi="Times New Roman" w:cs="Times New Roman"/>
          <w:sz w:val="24"/>
          <w:szCs w:val="24"/>
        </w:rPr>
      </w:pPr>
      <w:r>
        <w:rPr>
          <w:rFonts w:ascii="Times New Roman" w:hAnsi="Times New Roman" w:cs="Times New Roman"/>
          <w:sz w:val="24"/>
          <w:szCs w:val="24"/>
        </w:rPr>
        <w:t>IL PROCESSO SEGUITO PER LA NUOVA MAPPATURA E PER LA VALUTAZIONE DEL RISCHIO.</w:t>
      </w:r>
      <w:r w:rsidR="00F604F2" w:rsidRPr="00F604F2">
        <w:rPr>
          <w:rFonts w:ascii="Times New Roman" w:hAnsi="Times New Roman" w:cs="Times New Roman"/>
          <w:sz w:val="24"/>
          <w:szCs w:val="24"/>
        </w:rPr>
        <w:t>…………………………………</w:t>
      </w:r>
      <w:r w:rsidR="00F604F2">
        <w:rPr>
          <w:rFonts w:ascii="Times New Roman" w:hAnsi="Times New Roman" w:cs="Times New Roman"/>
          <w:sz w:val="24"/>
          <w:szCs w:val="24"/>
        </w:rPr>
        <w:t>...</w:t>
      </w:r>
      <w:r w:rsidR="00F604F2" w:rsidRPr="00F604F2">
        <w:rPr>
          <w:rFonts w:ascii="Times New Roman" w:hAnsi="Times New Roman" w:cs="Times New Roman"/>
          <w:sz w:val="24"/>
          <w:szCs w:val="24"/>
        </w:rPr>
        <w:t>………………………</w:t>
      </w:r>
      <w:r w:rsidR="00F604F2">
        <w:rPr>
          <w:rFonts w:ascii="Times New Roman" w:hAnsi="Times New Roman" w:cs="Times New Roman"/>
          <w:sz w:val="24"/>
          <w:szCs w:val="24"/>
        </w:rPr>
        <w:t>...</w:t>
      </w:r>
      <w:r>
        <w:rPr>
          <w:rFonts w:ascii="Times New Roman" w:hAnsi="Times New Roman" w:cs="Times New Roman"/>
          <w:sz w:val="24"/>
          <w:szCs w:val="24"/>
        </w:rPr>
        <w:t>.........................</w:t>
      </w:r>
      <w:r w:rsidR="00F604F2">
        <w:rPr>
          <w:rFonts w:ascii="Times New Roman" w:hAnsi="Times New Roman" w:cs="Times New Roman"/>
          <w:sz w:val="24"/>
          <w:szCs w:val="24"/>
        </w:rPr>
        <w:t>1</w:t>
      </w:r>
      <w:r w:rsidR="00CF0CC0">
        <w:rPr>
          <w:rFonts w:ascii="Times New Roman" w:hAnsi="Times New Roman" w:cs="Times New Roman"/>
          <w:sz w:val="24"/>
          <w:szCs w:val="24"/>
        </w:rPr>
        <w:t>5</w:t>
      </w:r>
    </w:p>
    <w:p w14:paraId="048F82B7" w14:textId="178BF395" w:rsidR="00EE1D8B" w:rsidRPr="007501D7" w:rsidRDefault="007501D7" w:rsidP="007501D7">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LE MISURE ORGANIZZATIVE DI CARATTERE GENERALE………………………...1</w:t>
      </w:r>
      <w:r w:rsidR="00CF0CC0">
        <w:rPr>
          <w:rFonts w:ascii="Times New Roman" w:hAnsi="Times New Roman" w:cs="Times New Roman"/>
          <w:sz w:val="24"/>
          <w:szCs w:val="24"/>
        </w:rPr>
        <w:t>6</w:t>
      </w:r>
    </w:p>
    <w:p w14:paraId="07C248DE" w14:textId="0CF6D1C7" w:rsidR="00E32DEF" w:rsidRDefault="00E32DEF" w:rsidP="00E32DEF">
      <w:pPr>
        <w:pStyle w:val="Paragrafoelenco"/>
        <w:jc w:val="both"/>
        <w:rPr>
          <w:rFonts w:ascii="Times New Roman" w:hAnsi="Times New Roman" w:cs="Times New Roman"/>
          <w:sz w:val="24"/>
          <w:szCs w:val="24"/>
        </w:rPr>
      </w:pPr>
    </w:p>
    <w:p w14:paraId="3F407EA3" w14:textId="22F5C806" w:rsidR="00CB7C83" w:rsidRDefault="00CB7C83" w:rsidP="00CB7C83">
      <w:pPr>
        <w:jc w:val="both"/>
        <w:rPr>
          <w:rFonts w:ascii="Times New Roman" w:hAnsi="Times New Roman" w:cs="Times New Roman"/>
          <w:sz w:val="24"/>
          <w:szCs w:val="24"/>
        </w:rPr>
      </w:pPr>
    </w:p>
    <w:p w14:paraId="4A075CDB" w14:textId="17820CC3" w:rsidR="006C3D4B" w:rsidRDefault="006C3D4B" w:rsidP="00CB7C83">
      <w:pPr>
        <w:jc w:val="both"/>
        <w:rPr>
          <w:rFonts w:ascii="Times New Roman" w:hAnsi="Times New Roman" w:cs="Times New Roman"/>
          <w:sz w:val="24"/>
          <w:szCs w:val="24"/>
        </w:rPr>
      </w:pPr>
    </w:p>
    <w:p w14:paraId="73304817" w14:textId="1E4A7D7D" w:rsidR="006C3D4B" w:rsidRDefault="006C3D4B" w:rsidP="00CB7C83">
      <w:pPr>
        <w:jc w:val="both"/>
        <w:rPr>
          <w:rFonts w:ascii="Times New Roman" w:hAnsi="Times New Roman" w:cs="Times New Roman"/>
          <w:sz w:val="24"/>
          <w:szCs w:val="24"/>
        </w:rPr>
      </w:pPr>
    </w:p>
    <w:p w14:paraId="2ABCE3E0" w14:textId="2B7EDC72" w:rsidR="006C3D4B" w:rsidRDefault="006C3D4B" w:rsidP="00CB7C83">
      <w:pPr>
        <w:jc w:val="both"/>
        <w:rPr>
          <w:rFonts w:ascii="Times New Roman" w:hAnsi="Times New Roman" w:cs="Times New Roman"/>
          <w:sz w:val="24"/>
          <w:szCs w:val="24"/>
        </w:rPr>
      </w:pPr>
    </w:p>
    <w:p w14:paraId="3CDBD39C" w14:textId="5851EB7A" w:rsidR="006C3D4B" w:rsidRDefault="006C3D4B" w:rsidP="00CB7C83">
      <w:pPr>
        <w:jc w:val="both"/>
        <w:rPr>
          <w:rFonts w:ascii="Times New Roman" w:hAnsi="Times New Roman" w:cs="Times New Roman"/>
          <w:sz w:val="24"/>
          <w:szCs w:val="24"/>
        </w:rPr>
      </w:pPr>
    </w:p>
    <w:p w14:paraId="59C37F0F" w14:textId="3BEE5730" w:rsidR="006C3D4B" w:rsidRDefault="006C3D4B" w:rsidP="00CB7C83">
      <w:pPr>
        <w:jc w:val="both"/>
        <w:rPr>
          <w:rFonts w:ascii="Times New Roman" w:hAnsi="Times New Roman" w:cs="Times New Roman"/>
          <w:sz w:val="24"/>
          <w:szCs w:val="24"/>
        </w:rPr>
      </w:pPr>
    </w:p>
    <w:p w14:paraId="4193A620" w14:textId="585903B9" w:rsidR="006C3D4B" w:rsidRDefault="006C3D4B" w:rsidP="00CB7C83">
      <w:pPr>
        <w:jc w:val="both"/>
        <w:rPr>
          <w:rFonts w:ascii="Times New Roman" w:hAnsi="Times New Roman" w:cs="Times New Roman"/>
          <w:sz w:val="24"/>
          <w:szCs w:val="24"/>
        </w:rPr>
      </w:pPr>
    </w:p>
    <w:p w14:paraId="69F0B1D6" w14:textId="51E35295" w:rsidR="006C3D4B" w:rsidRDefault="006C3D4B" w:rsidP="00CB7C83">
      <w:pPr>
        <w:jc w:val="both"/>
        <w:rPr>
          <w:rFonts w:ascii="Times New Roman" w:hAnsi="Times New Roman" w:cs="Times New Roman"/>
          <w:sz w:val="24"/>
          <w:szCs w:val="24"/>
        </w:rPr>
      </w:pPr>
    </w:p>
    <w:p w14:paraId="18E3F0ED" w14:textId="7B9E82EB" w:rsidR="006C3D4B" w:rsidRDefault="006C3D4B" w:rsidP="00CB7C83">
      <w:pPr>
        <w:jc w:val="both"/>
        <w:rPr>
          <w:rFonts w:ascii="Times New Roman" w:hAnsi="Times New Roman" w:cs="Times New Roman"/>
          <w:sz w:val="24"/>
          <w:szCs w:val="24"/>
        </w:rPr>
      </w:pPr>
    </w:p>
    <w:p w14:paraId="0B1174E0" w14:textId="37BD6076" w:rsidR="006C3D4B" w:rsidRDefault="006C3D4B" w:rsidP="00CB7C83">
      <w:pPr>
        <w:jc w:val="both"/>
        <w:rPr>
          <w:rFonts w:ascii="Times New Roman" w:hAnsi="Times New Roman" w:cs="Times New Roman"/>
          <w:sz w:val="24"/>
          <w:szCs w:val="24"/>
        </w:rPr>
      </w:pPr>
    </w:p>
    <w:p w14:paraId="772A5359" w14:textId="2DCC7E49" w:rsidR="006C3D4B" w:rsidRDefault="006C3D4B" w:rsidP="00CB7C83">
      <w:pPr>
        <w:jc w:val="both"/>
        <w:rPr>
          <w:rFonts w:ascii="Times New Roman" w:hAnsi="Times New Roman" w:cs="Times New Roman"/>
          <w:sz w:val="24"/>
          <w:szCs w:val="24"/>
        </w:rPr>
      </w:pPr>
    </w:p>
    <w:p w14:paraId="1915813A" w14:textId="690B4537" w:rsidR="006C3D4B" w:rsidRDefault="006C3D4B" w:rsidP="00CB7C83">
      <w:pPr>
        <w:jc w:val="both"/>
        <w:rPr>
          <w:rFonts w:ascii="Times New Roman" w:hAnsi="Times New Roman" w:cs="Times New Roman"/>
          <w:sz w:val="24"/>
          <w:szCs w:val="24"/>
        </w:rPr>
      </w:pPr>
    </w:p>
    <w:p w14:paraId="706B4331" w14:textId="5DFDA470" w:rsidR="006C3D4B" w:rsidRDefault="006C3D4B" w:rsidP="00CB7C83">
      <w:pPr>
        <w:jc w:val="both"/>
        <w:rPr>
          <w:rFonts w:ascii="Times New Roman" w:hAnsi="Times New Roman" w:cs="Times New Roman"/>
          <w:sz w:val="24"/>
          <w:szCs w:val="24"/>
        </w:rPr>
      </w:pPr>
    </w:p>
    <w:p w14:paraId="669A3D6B" w14:textId="46331ED1" w:rsidR="006C3D4B" w:rsidRDefault="006C3D4B" w:rsidP="00CB7C83">
      <w:pPr>
        <w:jc w:val="both"/>
        <w:rPr>
          <w:rFonts w:ascii="Times New Roman" w:hAnsi="Times New Roman" w:cs="Times New Roman"/>
          <w:sz w:val="24"/>
          <w:szCs w:val="24"/>
        </w:rPr>
      </w:pPr>
    </w:p>
    <w:p w14:paraId="323215D0" w14:textId="467B96E4" w:rsidR="006C3D4B" w:rsidRDefault="006C3D4B" w:rsidP="00CB7C83">
      <w:pPr>
        <w:jc w:val="both"/>
        <w:rPr>
          <w:rFonts w:ascii="Times New Roman" w:hAnsi="Times New Roman" w:cs="Times New Roman"/>
          <w:sz w:val="24"/>
          <w:szCs w:val="24"/>
        </w:rPr>
      </w:pPr>
    </w:p>
    <w:p w14:paraId="0E5889DD" w14:textId="75AD9F60" w:rsidR="006C3D4B" w:rsidRDefault="006C3D4B" w:rsidP="00CB7C83">
      <w:pPr>
        <w:jc w:val="both"/>
        <w:rPr>
          <w:rFonts w:ascii="Times New Roman" w:hAnsi="Times New Roman" w:cs="Times New Roman"/>
          <w:sz w:val="24"/>
          <w:szCs w:val="24"/>
        </w:rPr>
      </w:pPr>
    </w:p>
    <w:p w14:paraId="20C819A4" w14:textId="378C747B" w:rsidR="006C3D4B" w:rsidRDefault="006C3D4B" w:rsidP="00CB7C83">
      <w:pPr>
        <w:jc w:val="both"/>
        <w:rPr>
          <w:rFonts w:ascii="Times New Roman" w:hAnsi="Times New Roman" w:cs="Times New Roman"/>
          <w:sz w:val="24"/>
          <w:szCs w:val="24"/>
        </w:rPr>
      </w:pPr>
    </w:p>
    <w:p w14:paraId="225D6C9A" w14:textId="751C0238" w:rsidR="006C3D4B" w:rsidRDefault="006C3D4B" w:rsidP="00CB7C83">
      <w:pPr>
        <w:jc w:val="both"/>
        <w:rPr>
          <w:rFonts w:ascii="Times New Roman" w:hAnsi="Times New Roman" w:cs="Times New Roman"/>
          <w:sz w:val="24"/>
          <w:szCs w:val="24"/>
        </w:rPr>
      </w:pPr>
    </w:p>
    <w:p w14:paraId="4E8E19FA" w14:textId="3C875A92" w:rsidR="006C3D4B" w:rsidRDefault="006C3D4B" w:rsidP="00CB7C83">
      <w:pPr>
        <w:jc w:val="both"/>
        <w:rPr>
          <w:rFonts w:ascii="Times New Roman" w:hAnsi="Times New Roman" w:cs="Times New Roman"/>
          <w:sz w:val="24"/>
          <w:szCs w:val="24"/>
        </w:rPr>
      </w:pPr>
    </w:p>
    <w:p w14:paraId="0A24E724" w14:textId="09AC628C" w:rsidR="00C70CE3" w:rsidRDefault="00C70CE3" w:rsidP="00CB7C83">
      <w:pPr>
        <w:jc w:val="both"/>
        <w:rPr>
          <w:rFonts w:ascii="Times New Roman" w:hAnsi="Times New Roman" w:cs="Times New Roman"/>
          <w:sz w:val="24"/>
          <w:szCs w:val="24"/>
        </w:rPr>
      </w:pPr>
    </w:p>
    <w:p w14:paraId="354D3D3F" w14:textId="77777777" w:rsidR="00133E81" w:rsidRDefault="00133E81" w:rsidP="00CB7C83">
      <w:pPr>
        <w:jc w:val="both"/>
        <w:rPr>
          <w:rFonts w:ascii="Times New Roman" w:hAnsi="Times New Roman" w:cs="Times New Roman"/>
          <w:sz w:val="24"/>
          <w:szCs w:val="24"/>
        </w:rPr>
      </w:pPr>
    </w:p>
    <w:p w14:paraId="49A45BB9" w14:textId="2C747122" w:rsidR="008C0B16" w:rsidRPr="008C0B16" w:rsidRDefault="008C0B16" w:rsidP="00CB7C83">
      <w:pPr>
        <w:jc w:val="both"/>
        <w:rPr>
          <w:b/>
          <w:bCs/>
        </w:rPr>
      </w:pPr>
      <w:r w:rsidRPr="008C0B16">
        <w:rPr>
          <w:b/>
          <w:bCs/>
        </w:rPr>
        <w:lastRenderedPageBreak/>
        <w:t>OGGETTO E FINALIT</w:t>
      </w:r>
      <w:r w:rsidRPr="008C0B16">
        <w:rPr>
          <w:rFonts w:cstheme="minorHAnsi"/>
          <w:b/>
          <w:bCs/>
        </w:rPr>
        <w:t>À</w:t>
      </w:r>
    </w:p>
    <w:p w14:paraId="7732F948" w14:textId="77777777" w:rsidR="00CA1E36" w:rsidRDefault="008C0B16" w:rsidP="00CB7C83">
      <w:pPr>
        <w:jc w:val="both"/>
      </w:pPr>
      <w:r>
        <w:t>L’Autorità Nazionale Anticorruzione con Delibera n. 1064 del 13 novembre 2019 ha approvato il “Piano Nazionale Anticorruzione 2019”, formulando indicazioni metodologiche per la gestione dei rischi corruttivi (allegato 1).</w:t>
      </w:r>
    </w:p>
    <w:p w14:paraId="4AD4A6D7" w14:textId="77777777" w:rsidR="00CA1E36" w:rsidRDefault="008C0B16" w:rsidP="00CB7C83">
      <w:pPr>
        <w:jc w:val="both"/>
      </w:pPr>
      <w:r>
        <w:t>Nel cit. PNA 2019, l’Autorità ha precisato che “per il PNA 2019-2021… ha deciso di concentrare la propria attenzione sulle indicazioni relative alla parte generale del PNA, rivedendo e consolidando in un unico atto di indirizzo tutte le indicazioni date fino ad oggi, integrandole con orientamenti maturati nel corso del tempo e che sono anche stati oggetto di appositi atti regolatori. Si intendono, pertanto, superate le indicazioni contenute nelle Parti generali dei PNA e degli Aggiornamenti fino ad oggi adottati”, osservando anche che “le indicazioni del PNA non devono comportare l’introduzione di adempimenti e controlli formali con conseguente aggravio burocratico. Al contrario, sono da intendersi in un’ottica di ottimizzazione e maggiore razionalizzazione dell’organizzazione e dell’attività delle amministrazioni per il perseguimento dei propri fini istituzionali secondo i principi di imparzialità efficacia, efficienza ed economicità dell’azione amministrativa… ogni amministrazione presenta differenti livelli e fattori abilitanti al rischio corruttivo per via delle specificità ordinamentali e dimensionali nonché per via del contesto territoriale, sociale, economico, culturale e organizzativo in cui si colloca, per l’elaborazione del PTPCT si deve tenere conto di tali fattori di contesto. Il PTPCT, pertanto, non può essere oggetto di standardizzazione”.</w:t>
      </w:r>
    </w:p>
    <w:p w14:paraId="22EED4A6" w14:textId="6AA45850" w:rsidR="00CA1E36" w:rsidRDefault="008C0B16" w:rsidP="00CB7C83">
      <w:pPr>
        <w:jc w:val="both"/>
      </w:pPr>
      <w:r>
        <w:t>Nel comunicato del Presidente ANAC del 2 dicembre 2020, riferisce che “tenuto conto dell’emergenza sanitaria da Covid</w:t>
      </w:r>
      <w:r w:rsidR="00CA1E36">
        <w:t>-</w:t>
      </w:r>
      <w:r>
        <w:t>19, il Consiglio dell’Autorità nella seduta del 2 dicembre u.s. ha ritenuto opportuno differire, al 31 marzo 2021, il termine ultimo per la predisposizione e la pubblicazione della Relazione annuale 2020 che i Responsabili per la Prevenzione della corruzione e la trasparenza (RPCT) sono tenuti ad elaborare, ai sensi dell’art. 1, co</w:t>
      </w:r>
      <w:r w:rsidR="00CF0CC0">
        <w:t>mma</w:t>
      </w:r>
      <w:r>
        <w:t xml:space="preserve"> 14, della legge 190/2012.</w:t>
      </w:r>
    </w:p>
    <w:p w14:paraId="47323CB8" w14:textId="77777777" w:rsidR="00CA1E36" w:rsidRDefault="008C0B16" w:rsidP="00CB7C83">
      <w:pPr>
        <w:jc w:val="both"/>
      </w:pPr>
      <w:r>
        <w:t>A tal fine, l’Autorità metterà a disposizione, entro l’11 dicembre prossimo, l’apposito modello, che sarà generato anche per chi, su base volontaria, ha utilizzato la Piattaforma per l’acquisizione dei dati sui Piani triennali per la prevenzione della corruzione e la trasparenza. Restano valide le Relazioni già pubblicate. Per le stesse motivazioni legate all’emergenza sanitaria e al fine di consentire ai RPCT di svolgere adeguatamente tutte le attività connesse all’elaborazione dei Piani triennali per la prevenzione della corruzione e la trasparenza, il Consiglio dell’Autorità ha altresì deliberato di differire alla medesima data (31 marzo 2021) il termine ultimo per la predisposizione e la pubblicazione dei Piani Triennali per la prevenzione della corruzione e la trasparenza 2021-2023”.</w:t>
      </w:r>
    </w:p>
    <w:p w14:paraId="3A894F5E" w14:textId="4900F5EF" w:rsidR="00CA1E36" w:rsidRDefault="008C0B16" w:rsidP="00CB7C83">
      <w:pPr>
        <w:jc w:val="both"/>
      </w:pPr>
      <w:r>
        <w:t>Il presente PTPCT deve considerarsi un aggiornamento del precedente PTPCT di durata triennale che terrà, pertanto, in considerazione del maturato e degli atti già adottati, integrato d</w:t>
      </w:r>
      <w:r w:rsidR="008B70BA">
        <w:t>alle</w:t>
      </w:r>
      <w:r>
        <w:t xml:space="preserve"> indicazioni mosse nel PNA 2019 sulla Mappatura dei processi/procedimenti secondo le indicazioni dell’allegato 1 al PNA 2019 “Indicazioni metodologiche per la gestione dei rischi corruttivi”.</w:t>
      </w:r>
    </w:p>
    <w:p w14:paraId="7A7FE57A" w14:textId="261E1A89" w:rsidR="006C3D4B" w:rsidRDefault="008C0B16" w:rsidP="00CB7C83">
      <w:pPr>
        <w:jc w:val="both"/>
      </w:pPr>
      <w:r>
        <w:t>L’obiettivo dell’aggiornamento del Piano P</w:t>
      </w:r>
      <w:r w:rsidR="00CA1E36">
        <w:t>TP</w:t>
      </w:r>
      <w:r>
        <w:t>CT</w:t>
      </w:r>
      <w:r w:rsidR="00CA1E36">
        <w:t xml:space="preserve"> </w:t>
      </w:r>
      <w:r>
        <w:t>2021</w:t>
      </w:r>
      <w:r w:rsidR="00CA1E36">
        <w:t>-</w:t>
      </w:r>
      <w:r>
        <w:t>2022-2023 è quello di prevenire il “rischio corruzione” nell’attività amministrativa del</w:t>
      </w:r>
      <w:r w:rsidR="00CA1E36">
        <w:t xml:space="preserve">la Comunità </w:t>
      </w:r>
      <w:r>
        <w:t>con azioni di prevenzione e di contrasto della illegalità, individuando delle “misure” per neutralizzare i rischi nei processi decisionali, promuovendo una cultura della “legalità” e dell’“integrità” in attuazione della Legge n. 190/2012 e dei connessi decreti attuativi (D.lgs. n. 33 e 39 del 2013).</w:t>
      </w:r>
    </w:p>
    <w:p w14:paraId="359F30B9" w14:textId="77777777" w:rsidR="00F756E8" w:rsidRDefault="009A3F08" w:rsidP="00F756E8">
      <w:pPr>
        <w:spacing w:after="0"/>
        <w:jc w:val="both"/>
        <w:rPr>
          <w:b/>
          <w:bCs/>
        </w:rPr>
      </w:pPr>
      <w:r w:rsidRPr="009A3F08">
        <w:rPr>
          <w:b/>
          <w:bCs/>
        </w:rPr>
        <w:t>CONTESTO INTERNO</w:t>
      </w:r>
    </w:p>
    <w:p w14:paraId="6882C5A6" w14:textId="0DF8E567" w:rsidR="003E085D" w:rsidRPr="00F756E8" w:rsidRDefault="003E085D" w:rsidP="00F756E8">
      <w:pPr>
        <w:spacing w:after="0"/>
        <w:jc w:val="both"/>
        <w:rPr>
          <w:b/>
          <w:bCs/>
        </w:rPr>
      </w:pPr>
      <w:r w:rsidRPr="003E085D">
        <w:t>I Comuni di Lavarone</w:t>
      </w:r>
      <w:r w:rsidR="00CF0CC0">
        <w:t>, di Folgaria</w:t>
      </w:r>
      <w:r w:rsidRPr="003E085D">
        <w:t xml:space="preserve"> e di Luserna</w:t>
      </w:r>
      <w:r w:rsidR="00CF0CC0">
        <w:t xml:space="preserve"> stanno conducendo un faticoso percorso di associazione dei servizi comunali, reso obbligatorio dal legislatore provinciale e quindi concluso attorno al mese di dicembre 2016, ma alla data di redazione del presente piano triennale tutti i comuni hanno determinato lo scioglimento di ogni vincolo associativo in forza di una ulteriore riforma normativa che ha abolito l’obbligatorietà del conferimento delle funzioni comunali in modalità di gestione in forma associata</w:t>
      </w:r>
      <w:r w:rsidRPr="003E085D">
        <w:t>;</w:t>
      </w:r>
    </w:p>
    <w:p w14:paraId="2CD3D7D4" w14:textId="2B50B15C" w:rsidR="003E085D" w:rsidRDefault="00787548" w:rsidP="00E70503">
      <w:pPr>
        <w:suppressAutoHyphens/>
        <w:snapToGrid w:val="0"/>
        <w:spacing w:before="100" w:after="0" w:line="100" w:lineRule="atLeast"/>
        <w:jc w:val="both"/>
      </w:pPr>
      <w:r>
        <w:lastRenderedPageBreak/>
        <w:t>Per quanto più in particolare concerne l’assetto organizzativo ed organigrammatico interno dell’Amministrazione comunale, possiamo richiamare gli innumerevoli atti pubblici e debitamente pubblicati, già in possesso della Pubblica Amministrazione (può farsi riferimento al Documento Unico di Programmazione annuale e triennale, alle Note Integrative al bilancio di previsione, etc) e che a rigor di principio generale sull’azione amministrativa non dovrebbe essere richiesto nuovamente alla stessa (</w:t>
      </w:r>
      <w:r w:rsidR="00BD16BE">
        <w:t>art. 2 legge 241 del 1990) per non incorrere nell’altrettanto generale divieto di aggravare il procedimento amministrativo (art. 1 della medesima legge). Ma tant’è, ripetiamoci.</w:t>
      </w:r>
    </w:p>
    <w:p w14:paraId="51B0E0FA" w14:textId="4BB9AADD" w:rsidR="00BD16BE" w:rsidRDefault="00BD16BE" w:rsidP="00E70503">
      <w:pPr>
        <w:suppressAutoHyphens/>
        <w:snapToGrid w:val="0"/>
        <w:spacing w:before="100" w:after="0" w:line="100" w:lineRule="atLeast"/>
        <w:jc w:val="both"/>
      </w:pPr>
      <w:r>
        <w:t>L’Amministrazione comunale agisce avvalendosi di strutture organizzative non formalmente istituite né tanto meno dirette da figure dirigenziali, in quanto per lo più condotte da qualifiche non superiori a quella di funzionario base.</w:t>
      </w:r>
    </w:p>
    <w:p w14:paraId="2CDCCC1C" w14:textId="66F73E5E" w:rsidR="00BD16BE" w:rsidRDefault="00BD16BE" w:rsidP="00E70503">
      <w:pPr>
        <w:suppressAutoHyphens/>
        <w:snapToGrid w:val="0"/>
        <w:spacing w:before="100" w:after="0" w:line="100" w:lineRule="atLeast"/>
        <w:jc w:val="both"/>
      </w:pPr>
      <w:r>
        <w:t>Esse sono (i relativi dipendenti si intendono a tempo pieno, specificandone solamente il regime di part time):</w:t>
      </w:r>
    </w:p>
    <w:p w14:paraId="1C1271C3" w14:textId="77777777" w:rsidR="00BD16BE" w:rsidRDefault="00BD16BE" w:rsidP="00E70503">
      <w:pPr>
        <w:suppressAutoHyphens/>
        <w:snapToGrid w:val="0"/>
        <w:spacing w:before="100" w:after="0" w:line="100" w:lineRule="atLeast"/>
        <w:jc w:val="both"/>
      </w:pPr>
      <w:r w:rsidRPr="00BD16BE">
        <w:rPr>
          <w:u w:val="single"/>
        </w:rPr>
        <w:t>UFFICIO SEGRETERIA</w:t>
      </w:r>
      <w:r>
        <w:t xml:space="preserve">: </w:t>
      </w:r>
    </w:p>
    <w:p w14:paraId="78BDD250" w14:textId="77777777" w:rsidR="00BD16BE" w:rsidRDefault="00BD16BE" w:rsidP="00E70503">
      <w:pPr>
        <w:suppressAutoHyphens/>
        <w:snapToGrid w:val="0"/>
        <w:spacing w:before="100" w:after="0" w:line="100" w:lineRule="atLeast"/>
        <w:jc w:val="both"/>
      </w:pPr>
      <w:r>
        <w:t xml:space="preserve">1 Vicesegretario comunale ad esaurimento, part time 24 ore/sett.; </w:t>
      </w:r>
    </w:p>
    <w:p w14:paraId="193C0DB7" w14:textId="297803A1" w:rsidR="00BD16BE" w:rsidRDefault="00BD16BE" w:rsidP="00E70503">
      <w:pPr>
        <w:suppressAutoHyphens/>
        <w:snapToGrid w:val="0"/>
        <w:spacing w:before="100" w:after="0" w:line="100" w:lineRule="atLeast"/>
        <w:jc w:val="both"/>
      </w:pPr>
      <w:r>
        <w:t>1 assistente amministrativo;</w:t>
      </w:r>
    </w:p>
    <w:p w14:paraId="7C2FEF88" w14:textId="6B7B4D87" w:rsidR="00112CC7" w:rsidRDefault="00112CC7" w:rsidP="00E70503">
      <w:pPr>
        <w:suppressAutoHyphens/>
        <w:snapToGrid w:val="0"/>
        <w:spacing w:before="100" w:after="0" w:line="100" w:lineRule="atLeast"/>
        <w:jc w:val="both"/>
      </w:pPr>
      <w:r>
        <w:t>1 addetto servizi ausiliari;</w:t>
      </w:r>
    </w:p>
    <w:p w14:paraId="5F11ADDF" w14:textId="1AE49033" w:rsidR="00112CC7" w:rsidRDefault="00112CC7" w:rsidP="00E70503">
      <w:pPr>
        <w:suppressAutoHyphens/>
        <w:snapToGrid w:val="0"/>
        <w:spacing w:before="100" w:after="0" w:line="100" w:lineRule="atLeast"/>
        <w:jc w:val="both"/>
      </w:pPr>
      <w:r w:rsidRPr="00112CC7">
        <w:rPr>
          <w:u w:val="single"/>
        </w:rPr>
        <w:t>UFFICIO DEMOGRAFICO</w:t>
      </w:r>
      <w:r>
        <w:t>:</w:t>
      </w:r>
    </w:p>
    <w:p w14:paraId="4D7CC334" w14:textId="2677A4C1" w:rsidR="00112CC7" w:rsidRDefault="00112CC7" w:rsidP="00E70503">
      <w:pPr>
        <w:suppressAutoHyphens/>
        <w:snapToGrid w:val="0"/>
        <w:spacing w:before="100" w:after="0" w:line="100" w:lineRule="atLeast"/>
        <w:jc w:val="both"/>
      </w:pPr>
      <w:r>
        <w:t>1 collaboratore amministrativo;</w:t>
      </w:r>
    </w:p>
    <w:p w14:paraId="56F840A0" w14:textId="3EC7406C" w:rsidR="00112CC7" w:rsidRDefault="00112CC7" w:rsidP="00E70503">
      <w:pPr>
        <w:suppressAutoHyphens/>
        <w:snapToGrid w:val="0"/>
        <w:spacing w:before="100" w:after="0" w:line="100" w:lineRule="atLeast"/>
        <w:jc w:val="both"/>
      </w:pPr>
      <w:r>
        <w:t>1 assistente amministrativo;</w:t>
      </w:r>
    </w:p>
    <w:p w14:paraId="2A95EF2E" w14:textId="3AAE9F30" w:rsidR="00BD16BE" w:rsidRDefault="00BD16BE" w:rsidP="00E70503">
      <w:pPr>
        <w:suppressAutoHyphens/>
        <w:snapToGrid w:val="0"/>
        <w:spacing w:before="100" w:after="0" w:line="100" w:lineRule="atLeast"/>
        <w:jc w:val="both"/>
      </w:pPr>
      <w:r w:rsidRPr="00BD16BE">
        <w:rPr>
          <w:u w:val="single"/>
        </w:rPr>
        <w:t>UFFICIO POLIZIA MUNICIPALE</w:t>
      </w:r>
      <w:r>
        <w:t xml:space="preserve"> (in convenzione con altro Ente dal 1° aprile 2021):</w:t>
      </w:r>
    </w:p>
    <w:p w14:paraId="62D705E6" w14:textId="43A185E9" w:rsidR="00BD16BE" w:rsidRDefault="00BD16BE" w:rsidP="00E70503">
      <w:pPr>
        <w:suppressAutoHyphens/>
        <w:snapToGrid w:val="0"/>
        <w:spacing w:before="100" w:after="0" w:line="100" w:lineRule="atLeast"/>
        <w:jc w:val="both"/>
      </w:pPr>
      <w:r>
        <w:t xml:space="preserve">1 agente di polizia locale </w:t>
      </w:r>
      <w:r w:rsidR="00112CC7">
        <w:t>(</w:t>
      </w:r>
      <w:r>
        <w:t>ad esaurimento</w:t>
      </w:r>
      <w:r w:rsidR="00112CC7">
        <w:t>)</w:t>
      </w:r>
      <w:r>
        <w:t>;</w:t>
      </w:r>
    </w:p>
    <w:p w14:paraId="5B896FD9" w14:textId="42B8AA6F" w:rsidR="00BD16BE" w:rsidRDefault="00BD16BE" w:rsidP="00E70503">
      <w:pPr>
        <w:suppressAutoHyphens/>
        <w:snapToGrid w:val="0"/>
        <w:spacing w:before="100" w:after="0" w:line="100" w:lineRule="atLeast"/>
        <w:jc w:val="both"/>
      </w:pPr>
      <w:r w:rsidRPr="00BD16BE">
        <w:rPr>
          <w:u w:val="single"/>
        </w:rPr>
        <w:t>UFFICIO TRIBUTI</w:t>
      </w:r>
      <w:r>
        <w:t>:</w:t>
      </w:r>
    </w:p>
    <w:p w14:paraId="416F455B" w14:textId="3AC757D6" w:rsidR="00BD16BE" w:rsidRDefault="00BD16BE" w:rsidP="00E70503">
      <w:pPr>
        <w:suppressAutoHyphens/>
        <w:snapToGrid w:val="0"/>
        <w:spacing w:before="100" w:after="0" w:line="100" w:lineRule="atLeast"/>
        <w:jc w:val="both"/>
      </w:pPr>
      <w:r>
        <w:t>1 assistente amministrativo/contabile, part time 32 ore/sett.;</w:t>
      </w:r>
    </w:p>
    <w:p w14:paraId="0C817E45" w14:textId="06F7786F" w:rsidR="00BD16BE" w:rsidRDefault="00BD16BE" w:rsidP="00E70503">
      <w:pPr>
        <w:suppressAutoHyphens/>
        <w:snapToGrid w:val="0"/>
        <w:spacing w:before="100" w:after="0" w:line="100" w:lineRule="atLeast"/>
        <w:jc w:val="both"/>
      </w:pPr>
      <w:r w:rsidRPr="00BD16BE">
        <w:rPr>
          <w:u w:val="single"/>
        </w:rPr>
        <w:t>UFFICIO RAGIONERIA</w:t>
      </w:r>
      <w:r>
        <w:t>:</w:t>
      </w:r>
    </w:p>
    <w:p w14:paraId="5ED3ECC0" w14:textId="0AC02C2B" w:rsidR="00BD16BE" w:rsidRDefault="00BD16BE" w:rsidP="00E70503">
      <w:pPr>
        <w:suppressAutoHyphens/>
        <w:snapToGrid w:val="0"/>
        <w:spacing w:before="100" w:after="0" w:line="100" w:lineRule="atLeast"/>
        <w:jc w:val="both"/>
      </w:pPr>
      <w:r>
        <w:t>1 funzionario contabile, part time 32</w:t>
      </w:r>
      <w:r w:rsidR="00112CC7">
        <w:t xml:space="preserve"> ore/sett.;</w:t>
      </w:r>
    </w:p>
    <w:p w14:paraId="096B2752" w14:textId="5FE9B741" w:rsidR="00112CC7" w:rsidRDefault="00112CC7" w:rsidP="00E70503">
      <w:pPr>
        <w:suppressAutoHyphens/>
        <w:snapToGrid w:val="0"/>
        <w:spacing w:before="100" w:after="0" w:line="100" w:lineRule="atLeast"/>
        <w:jc w:val="both"/>
      </w:pPr>
      <w:r>
        <w:t>1 assistente contabile;</w:t>
      </w:r>
    </w:p>
    <w:p w14:paraId="24282290" w14:textId="36EEE1F2" w:rsidR="00112CC7" w:rsidRDefault="00112CC7" w:rsidP="00E70503">
      <w:pPr>
        <w:suppressAutoHyphens/>
        <w:snapToGrid w:val="0"/>
        <w:spacing w:before="100" w:after="0" w:line="100" w:lineRule="atLeast"/>
        <w:jc w:val="both"/>
      </w:pPr>
      <w:r w:rsidRPr="00112CC7">
        <w:rPr>
          <w:u w:val="single"/>
        </w:rPr>
        <w:t>UFFICIO TECNICO</w:t>
      </w:r>
      <w:r>
        <w:t>:</w:t>
      </w:r>
    </w:p>
    <w:p w14:paraId="055EC879" w14:textId="7CFF3A9C" w:rsidR="00112CC7" w:rsidRDefault="00112CC7" w:rsidP="00E70503">
      <w:pPr>
        <w:suppressAutoHyphens/>
        <w:snapToGrid w:val="0"/>
        <w:spacing w:before="100" w:after="0" w:line="100" w:lineRule="atLeast"/>
        <w:jc w:val="both"/>
      </w:pPr>
      <w:r>
        <w:t>2 assistenti tecnici;</w:t>
      </w:r>
    </w:p>
    <w:p w14:paraId="66786888" w14:textId="523BB273" w:rsidR="00112CC7" w:rsidRDefault="00112CC7" w:rsidP="00E70503">
      <w:pPr>
        <w:suppressAutoHyphens/>
        <w:snapToGrid w:val="0"/>
        <w:spacing w:before="100" w:after="0" w:line="100" w:lineRule="atLeast"/>
        <w:jc w:val="both"/>
      </w:pPr>
      <w:r>
        <w:t>BIBLIOTECA COMUNALE:</w:t>
      </w:r>
    </w:p>
    <w:p w14:paraId="5739CF33" w14:textId="67CAB753" w:rsidR="00112CC7" w:rsidRDefault="00112CC7" w:rsidP="00E70503">
      <w:pPr>
        <w:suppressAutoHyphens/>
        <w:snapToGrid w:val="0"/>
        <w:spacing w:before="100" w:after="0" w:line="100" w:lineRule="atLeast"/>
        <w:jc w:val="both"/>
      </w:pPr>
      <w:r>
        <w:t>1 funzionario di biblioteca;</w:t>
      </w:r>
    </w:p>
    <w:p w14:paraId="66E7D759" w14:textId="5AF2DC3D" w:rsidR="00112CC7" w:rsidRDefault="00112CC7" w:rsidP="00E70503">
      <w:pPr>
        <w:suppressAutoHyphens/>
        <w:snapToGrid w:val="0"/>
        <w:spacing w:before="100" w:after="0" w:line="100" w:lineRule="atLeast"/>
        <w:jc w:val="both"/>
      </w:pPr>
      <w:r w:rsidRPr="00112CC7">
        <w:rPr>
          <w:u w:val="single"/>
        </w:rPr>
        <w:t>CANTIERE COMUNALE</w:t>
      </w:r>
      <w:r>
        <w:t>:</w:t>
      </w:r>
    </w:p>
    <w:p w14:paraId="31F8093F" w14:textId="57C0D6E4" w:rsidR="00112CC7" w:rsidRDefault="00112CC7" w:rsidP="00E70503">
      <w:pPr>
        <w:suppressAutoHyphens/>
        <w:snapToGrid w:val="0"/>
        <w:spacing w:before="100" w:after="0" w:line="100" w:lineRule="atLeast"/>
        <w:jc w:val="both"/>
      </w:pPr>
      <w:r>
        <w:t>2 operai specializzati;</w:t>
      </w:r>
    </w:p>
    <w:p w14:paraId="1C00CDFC" w14:textId="0E248110" w:rsidR="00112CC7" w:rsidRDefault="00112CC7" w:rsidP="00E70503">
      <w:pPr>
        <w:suppressAutoHyphens/>
        <w:snapToGrid w:val="0"/>
        <w:spacing w:before="100" w:after="0" w:line="100" w:lineRule="atLeast"/>
        <w:jc w:val="both"/>
      </w:pPr>
      <w:r>
        <w:t>3 operai polivalenti;</w:t>
      </w:r>
    </w:p>
    <w:p w14:paraId="6FA7B87A" w14:textId="3BF8EA5A" w:rsidR="00112CC7" w:rsidRDefault="00112CC7" w:rsidP="00E70503">
      <w:pPr>
        <w:suppressAutoHyphens/>
        <w:snapToGrid w:val="0"/>
        <w:spacing w:before="100" w:after="0" w:line="100" w:lineRule="atLeast"/>
        <w:jc w:val="both"/>
      </w:pPr>
      <w:r>
        <w:t>SCUOLA DELL’INFANZIA:</w:t>
      </w:r>
    </w:p>
    <w:p w14:paraId="574345CD" w14:textId="4C362ADA" w:rsidR="00112CC7" w:rsidRDefault="00112CC7" w:rsidP="00E70503">
      <w:pPr>
        <w:suppressAutoHyphens/>
        <w:snapToGrid w:val="0"/>
        <w:spacing w:before="100" w:after="0" w:line="100" w:lineRule="atLeast"/>
        <w:jc w:val="both"/>
      </w:pPr>
      <w:r>
        <w:t>2 addetti servizi ausiliari.</w:t>
      </w:r>
    </w:p>
    <w:p w14:paraId="6B2ACBCA" w14:textId="77777777" w:rsidR="00112CC7" w:rsidRDefault="00112CC7" w:rsidP="00617AB8">
      <w:pPr>
        <w:jc w:val="both"/>
      </w:pPr>
    </w:p>
    <w:p w14:paraId="69E390CC" w14:textId="59271F50" w:rsidR="00390434" w:rsidRDefault="00112CC7" w:rsidP="00112CC7">
      <w:pPr>
        <w:suppressAutoHyphens/>
        <w:snapToGrid w:val="0"/>
        <w:spacing w:before="100" w:after="0" w:line="100" w:lineRule="atLeast"/>
        <w:jc w:val="both"/>
      </w:pPr>
      <w:r w:rsidRPr="00112CC7">
        <w:t>E’ ben evidente</w:t>
      </w:r>
      <w:r>
        <w:t xml:space="preserve"> che in tale quadro una molteplicità di servizi, anche</w:t>
      </w:r>
      <w:r w:rsidR="00020F8F">
        <w:t xml:space="preserve"> essenziali, è esternalizzata nelle forme consentite dalla legge (appalto, concessione, convenzione tra enti, affidamenti </w:t>
      </w:r>
      <w:r w:rsidR="00020F8F" w:rsidRPr="00020F8F">
        <w:rPr>
          <w:i/>
          <w:iCs/>
        </w:rPr>
        <w:t>in house</w:t>
      </w:r>
      <w:r w:rsidR="00020F8F">
        <w:t>, etc). Si rinvia ogni considerazione concernente l’avvalimento delle società partecipate dal Comune agli appositi adempimenti previsti nell’omonima materia, oltre che al contenuto specifico del Piano per quanto concerne gli aspetti critici degli affidamenti a terzi della prestazione di beni e servizi.</w:t>
      </w:r>
    </w:p>
    <w:p w14:paraId="0192E26B" w14:textId="77777777" w:rsidR="00390434" w:rsidRPr="00617AB8" w:rsidRDefault="00390434" w:rsidP="00112CC7">
      <w:pPr>
        <w:suppressAutoHyphens/>
        <w:snapToGrid w:val="0"/>
        <w:spacing w:before="100" w:after="0" w:line="100" w:lineRule="atLeast"/>
        <w:jc w:val="both"/>
      </w:pPr>
    </w:p>
    <w:p w14:paraId="1215D6FF" w14:textId="77777777" w:rsidR="00BB52A1" w:rsidRDefault="00617AB8" w:rsidP="00537BC7">
      <w:pPr>
        <w:suppressAutoHyphens/>
        <w:spacing w:before="100" w:after="0" w:line="100" w:lineRule="atLeast"/>
        <w:jc w:val="both"/>
        <w:rPr>
          <w:rFonts w:ascii="Times New Roman" w:eastAsia="Times New Roman" w:hAnsi="Times New Roman"/>
          <w:lang w:eastAsia="zh-CN"/>
        </w:rPr>
      </w:pPr>
      <w:r>
        <w:lastRenderedPageBreak/>
        <w:t>Si rileva l’assenza di fatti corruttivi o ipotesi di disfunzioni amministrative significative nel corso dell’ultimo anno 2020, e con riferimento ai precedenti anni.</w:t>
      </w:r>
    </w:p>
    <w:p w14:paraId="59878625" w14:textId="77777777" w:rsidR="00BB52A1" w:rsidRDefault="00BB52A1" w:rsidP="00537BC7">
      <w:pPr>
        <w:suppressAutoHyphens/>
        <w:spacing w:before="100" w:after="0" w:line="100" w:lineRule="atLeast"/>
        <w:jc w:val="both"/>
      </w:pPr>
      <w:r>
        <w:t>L’ANAC, con Delibera n. 1074 del 21 novembre 2018, nell’approvare in via definitiva l’“Aggiornamento 2018 al Piano Nazionale Anticorruzione”, ha formulato nell’approfondimento Parte Speciale – alcune indicazioni di “Semplificazione per i piccoli comuni” (pagg. 141 ss.), peraltro richiamati anche nel PNA 2019.</w:t>
      </w:r>
    </w:p>
    <w:p w14:paraId="101D0AA7" w14:textId="4EEE80B6" w:rsidR="008C0B16" w:rsidRDefault="00BB52A1" w:rsidP="00537BC7">
      <w:pPr>
        <w:suppressAutoHyphens/>
        <w:spacing w:before="100" w:after="0" w:line="100" w:lineRule="atLeast"/>
        <w:jc w:val="both"/>
      </w:pPr>
      <w:r>
        <w:t>È da rilevare che l’aggiornamento del PTPCT 2021-2023 tiene in considera</w:t>
      </w:r>
      <w:r w:rsidR="00973E65">
        <w:t>zione</w:t>
      </w:r>
      <w:r>
        <w:t xml:space="preserve"> necessariamente:</w:t>
      </w:r>
    </w:p>
    <w:p w14:paraId="6814C318" w14:textId="4CE91747" w:rsidR="00973E65" w:rsidRDefault="00973E65" w:rsidP="00D36D73">
      <w:pPr>
        <w:pStyle w:val="Paragrafoelenco"/>
        <w:numPr>
          <w:ilvl w:val="0"/>
          <w:numId w:val="8"/>
        </w:numPr>
        <w:suppressAutoHyphens/>
        <w:spacing w:before="100" w:after="0" w:line="100" w:lineRule="atLeast"/>
        <w:jc w:val="both"/>
      </w:pPr>
      <w:r>
        <w:t>la dimensione organizzativa del Comune</w:t>
      </w:r>
      <w:r w:rsidR="008B5E4C">
        <w:t>,</w:t>
      </w:r>
      <w:r>
        <w:t xml:space="preserve"> al fine di scongiurare misure non praticabili o solo teoriche, oltre a servire da parametro certo per la mappatura dei procedimenti e dei processi;</w:t>
      </w:r>
    </w:p>
    <w:p w14:paraId="75214E71" w14:textId="6D63211C" w:rsidR="00973E65" w:rsidRDefault="00973E65" w:rsidP="00D36D73">
      <w:pPr>
        <w:pStyle w:val="Paragrafoelenco"/>
        <w:numPr>
          <w:ilvl w:val="0"/>
          <w:numId w:val="8"/>
        </w:numPr>
        <w:suppressAutoHyphens/>
        <w:spacing w:before="100" w:after="0" w:line="100" w:lineRule="atLeast"/>
        <w:jc w:val="both"/>
      </w:pPr>
      <w:r>
        <w:t>le risorse economiche messe a disposizione;</w:t>
      </w:r>
    </w:p>
    <w:p w14:paraId="0F11E109" w14:textId="209E0C27" w:rsidR="00973E65" w:rsidRDefault="00973E65" w:rsidP="00D36D73">
      <w:pPr>
        <w:pStyle w:val="Paragrafoelenco"/>
        <w:numPr>
          <w:ilvl w:val="0"/>
          <w:numId w:val="8"/>
        </w:numPr>
        <w:suppressAutoHyphens/>
        <w:spacing w:before="100" w:after="0" w:line="100" w:lineRule="atLeast"/>
        <w:jc w:val="both"/>
      </w:pPr>
      <w:r>
        <w:t>la complessità dell’attività;</w:t>
      </w:r>
    </w:p>
    <w:p w14:paraId="3F2A8E11" w14:textId="0B1422A7" w:rsidR="00973E65" w:rsidRDefault="00973E65" w:rsidP="00D36D73">
      <w:pPr>
        <w:pStyle w:val="Paragrafoelenco"/>
        <w:numPr>
          <w:ilvl w:val="0"/>
          <w:numId w:val="8"/>
        </w:numPr>
        <w:suppressAutoHyphens/>
        <w:spacing w:before="100" w:after="0" w:line="100" w:lineRule="atLeast"/>
        <w:jc w:val="both"/>
      </w:pPr>
      <w:r>
        <w:t>l’esperienza acquisita e il contesto normativo;</w:t>
      </w:r>
    </w:p>
    <w:p w14:paraId="724710F1" w14:textId="1465FE86" w:rsidR="00973E65" w:rsidRDefault="00973E65" w:rsidP="00D36D73">
      <w:pPr>
        <w:pStyle w:val="Paragrafoelenco"/>
        <w:numPr>
          <w:ilvl w:val="0"/>
          <w:numId w:val="8"/>
        </w:numPr>
        <w:suppressAutoHyphens/>
        <w:spacing w:before="100" w:after="0" w:line="100" w:lineRule="atLeast"/>
        <w:jc w:val="both"/>
      </w:pPr>
      <w:r>
        <w:t>la presenza di nuove “aree a rischio” (1. Gestione delle entrate, delle spese e del patrimonio; 2. Controlli, verifiche, ispezioni e sanzioni; 3. Incarichi e nomine; 4. Affari legali e contenzioso), oltre a quelle “comuni obbligatorie” (1. Acquisizione e progressione del personale; 2. Affidamento di lavori, servizi e forniture; 3. Provvedimenti ampliativi della sfera giuridica dei destinatari privi di effetto economico diretto ed immediato per il destinatario; 4. Provvedimenti ampliativi della sfera giuridica dei destinatari con effetto economico diretto ed immediato per il destinatario).</w:t>
      </w:r>
    </w:p>
    <w:p w14:paraId="1DB49E0B" w14:textId="351D6044" w:rsidR="00973E65" w:rsidRDefault="00973E65" w:rsidP="00537BC7">
      <w:pPr>
        <w:suppressAutoHyphens/>
        <w:spacing w:before="100" w:after="0" w:line="100" w:lineRule="atLeast"/>
        <w:jc w:val="both"/>
      </w:pPr>
      <w:r>
        <w:t>Si riassumono, le aree (GENERALI) di riferimento obbligatorie:</w:t>
      </w:r>
    </w:p>
    <w:p w14:paraId="678BF908" w14:textId="34B984D7" w:rsidR="00973E65" w:rsidRDefault="00973E65" w:rsidP="00973E65">
      <w:pPr>
        <w:pStyle w:val="Paragrafoelenco"/>
        <w:numPr>
          <w:ilvl w:val="0"/>
          <w:numId w:val="7"/>
        </w:numPr>
        <w:suppressAutoHyphens/>
        <w:spacing w:before="100" w:after="0" w:line="100" w:lineRule="atLeast"/>
        <w:jc w:val="both"/>
      </w:pPr>
      <w:r>
        <w:t>Acquisizione e progressione del personale;</w:t>
      </w:r>
    </w:p>
    <w:p w14:paraId="13FDDFAB" w14:textId="51D1945D" w:rsidR="00973E65" w:rsidRDefault="00973E65" w:rsidP="00973E65">
      <w:pPr>
        <w:pStyle w:val="Paragrafoelenco"/>
        <w:numPr>
          <w:ilvl w:val="0"/>
          <w:numId w:val="7"/>
        </w:numPr>
        <w:suppressAutoHyphens/>
        <w:spacing w:before="100" w:after="0" w:line="100" w:lineRule="atLeast"/>
        <w:jc w:val="both"/>
      </w:pPr>
      <w:r>
        <w:t>Affidamento di lavori, servizi e forniture;</w:t>
      </w:r>
    </w:p>
    <w:p w14:paraId="43A3585C" w14:textId="3F7C49C9" w:rsidR="00973E65" w:rsidRDefault="00973E65" w:rsidP="00973E65">
      <w:pPr>
        <w:pStyle w:val="Paragrafoelenco"/>
        <w:numPr>
          <w:ilvl w:val="0"/>
          <w:numId w:val="7"/>
        </w:numPr>
        <w:suppressAutoHyphens/>
        <w:spacing w:before="100" w:after="0" w:line="100" w:lineRule="atLeast"/>
        <w:jc w:val="both"/>
      </w:pPr>
      <w:r>
        <w:t>Provvedimenti ampliativi della sfera giuridica dei destinatari privi di effetto economico diretto ed immediato per il destinatario;</w:t>
      </w:r>
    </w:p>
    <w:p w14:paraId="166DB03A" w14:textId="2E0BB8DB" w:rsidR="00973E65" w:rsidRDefault="00973E65" w:rsidP="00973E65">
      <w:pPr>
        <w:pStyle w:val="Paragrafoelenco"/>
        <w:numPr>
          <w:ilvl w:val="0"/>
          <w:numId w:val="7"/>
        </w:numPr>
        <w:suppressAutoHyphens/>
        <w:spacing w:before="100" w:after="0" w:line="100" w:lineRule="atLeast"/>
        <w:jc w:val="both"/>
      </w:pPr>
      <w:r>
        <w:t>Provvedimenti ampliativi della sfera giuridica dei destinatari con effetto economico diretto ed immediato per il destinatario;</w:t>
      </w:r>
    </w:p>
    <w:p w14:paraId="4CD644F1" w14:textId="221AE546" w:rsidR="00973E65" w:rsidRDefault="00973E65" w:rsidP="00973E65">
      <w:pPr>
        <w:pStyle w:val="Paragrafoelenco"/>
        <w:numPr>
          <w:ilvl w:val="0"/>
          <w:numId w:val="7"/>
        </w:numPr>
        <w:suppressAutoHyphens/>
        <w:spacing w:before="100" w:after="0" w:line="100" w:lineRule="atLeast"/>
        <w:jc w:val="both"/>
      </w:pPr>
      <w:r>
        <w:t>gestione delle entrate, delle spese e del patrimonio;</w:t>
      </w:r>
    </w:p>
    <w:p w14:paraId="4ACAF00C" w14:textId="2181C45B" w:rsidR="00973E65" w:rsidRDefault="00973E65" w:rsidP="00973E65">
      <w:pPr>
        <w:pStyle w:val="Paragrafoelenco"/>
        <w:numPr>
          <w:ilvl w:val="0"/>
          <w:numId w:val="7"/>
        </w:numPr>
        <w:suppressAutoHyphens/>
        <w:spacing w:before="100" w:after="0" w:line="100" w:lineRule="atLeast"/>
        <w:jc w:val="both"/>
      </w:pPr>
      <w:r>
        <w:t>controlli, verifiche, ispezioni e sanzioni;</w:t>
      </w:r>
    </w:p>
    <w:p w14:paraId="5E66055E" w14:textId="0C017422" w:rsidR="00973E65" w:rsidRDefault="00973E65" w:rsidP="00973E65">
      <w:pPr>
        <w:pStyle w:val="Paragrafoelenco"/>
        <w:numPr>
          <w:ilvl w:val="0"/>
          <w:numId w:val="7"/>
        </w:numPr>
        <w:suppressAutoHyphens/>
        <w:spacing w:before="100" w:after="0" w:line="100" w:lineRule="atLeast"/>
        <w:jc w:val="both"/>
      </w:pPr>
      <w:r>
        <w:t>incarichi e nomine;</w:t>
      </w:r>
    </w:p>
    <w:p w14:paraId="2ECCA3B4" w14:textId="13AA25D6" w:rsidR="00973E65" w:rsidRDefault="00973E65" w:rsidP="00973E65">
      <w:pPr>
        <w:pStyle w:val="Paragrafoelenco"/>
        <w:numPr>
          <w:ilvl w:val="0"/>
          <w:numId w:val="7"/>
        </w:numPr>
        <w:suppressAutoHyphens/>
        <w:spacing w:before="100" w:after="0" w:line="100" w:lineRule="atLeast"/>
        <w:jc w:val="both"/>
      </w:pPr>
      <w:r>
        <w:t>affari legali e contenzioso.</w:t>
      </w:r>
    </w:p>
    <w:p w14:paraId="2CC3C580" w14:textId="053DE415" w:rsidR="00BB52A1" w:rsidRDefault="00BB52A1" w:rsidP="00537BC7">
      <w:pPr>
        <w:suppressAutoHyphens/>
        <w:spacing w:before="100" w:after="0" w:line="100" w:lineRule="atLeast"/>
        <w:jc w:val="both"/>
        <w:rPr>
          <w:rFonts w:ascii="Times New Roman" w:eastAsia="Times New Roman" w:hAnsi="Times New Roman"/>
          <w:lang w:eastAsia="zh-CN"/>
        </w:rPr>
      </w:pPr>
    </w:p>
    <w:p w14:paraId="3263A1DE" w14:textId="19931026" w:rsidR="00767418" w:rsidRPr="00D45403" w:rsidRDefault="00767418" w:rsidP="00537BC7">
      <w:pPr>
        <w:suppressAutoHyphens/>
        <w:spacing w:before="100" w:after="0" w:line="100" w:lineRule="atLeast"/>
        <w:jc w:val="both"/>
      </w:pPr>
      <w:r w:rsidRPr="00D45403">
        <w:t>Si ritiene importante anche rilevare il fatto che:</w:t>
      </w:r>
    </w:p>
    <w:p w14:paraId="651425DF" w14:textId="10965CC6" w:rsidR="00767418" w:rsidRPr="00D45403" w:rsidRDefault="00020F8F" w:rsidP="00767418">
      <w:pPr>
        <w:pStyle w:val="Paragrafoelenco"/>
        <w:numPr>
          <w:ilvl w:val="0"/>
          <w:numId w:val="11"/>
        </w:numPr>
        <w:suppressAutoHyphens/>
        <w:spacing w:before="100" w:after="0" w:line="100" w:lineRule="atLeast"/>
        <w:jc w:val="both"/>
      </w:pPr>
      <w:r>
        <w:t>dal dicembre 2016 il Comune è costituito in gestione ass</w:t>
      </w:r>
      <w:r w:rsidR="00424007">
        <w:t>ociata dei servizi comunali principali</w:t>
      </w:r>
      <w:r w:rsidR="00767418" w:rsidRPr="00D45403">
        <w:t>;</w:t>
      </w:r>
    </w:p>
    <w:p w14:paraId="29B001AE" w14:textId="3B3ABFC2" w:rsidR="00767418" w:rsidRPr="00D45403" w:rsidRDefault="00424007" w:rsidP="00D45403">
      <w:pPr>
        <w:pStyle w:val="Paragrafoelenco"/>
        <w:numPr>
          <w:ilvl w:val="0"/>
          <w:numId w:val="11"/>
        </w:numPr>
        <w:suppressAutoHyphens/>
        <w:spacing w:before="100" w:after="0" w:line="100" w:lineRule="atLeast"/>
        <w:jc w:val="both"/>
      </w:pPr>
      <w:r>
        <w:t>tale forma di gestione amministrativa ha visto modelli organizzativi e soprattutto livelli di efficienza alquanto differenziati, quando non sperimentali e in attesa di verifica</w:t>
      </w:r>
      <w:r w:rsidR="00D45403" w:rsidRPr="00D45403">
        <w:t>;</w:t>
      </w:r>
    </w:p>
    <w:p w14:paraId="290F94C0" w14:textId="7CD9C245" w:rsidR="00767418" w:rsidRPr="00D45403" w:rsidRDefault="00424007" w:rsidP="00D45403">
      <w:pPr>
        <w:pStyle w:val="Paragrafoelenco"/>
        <w:numPr>
          <w:ilvl w:val="0"/>
          <w:numId w:val="11"/>
        </w:numPr>
        <w:suppressAutoHyphens/>
        <w:spacing w:before="100" w:after="0" w:line="100" w:lineRule="atLeast"/>
        <w:jc w:val="both"/>
      </w:pPr>
      <w:r>
        <w:t>le tre amministrazioni comunali, nel dicembre 2020 e con uguale decorrenza dal 1° aprile 2021, hanno provveduto a risolvere le convenzioni stipulate per la gestione associata dei servizi, avvalendosi della novella legislativa che ha abolito il vincolo di obbligatorietà della forma associata</w:t>
      </w:r>
      <w:r w:rsidR="00767418" w:rsidRPr="00D45403">
        <w:t>;</w:t>
      </w:r>
      <w:r w:rsidR="00767418" w:rsidRPr="00D45403">
        <w:rPr>
          <w:color w:val="FF0000"/>
        </w:rPr>
        <w:t xml:space="preserve"> </w:t>
      </w:r>
    </w:p>
    <w:p w14:paraId="55CA6037" w14:textId="476B8CCB" w:rsidR="00767418" w:rsidRPr="00D45403" w:rsidRDefault="00424007" w:rsidP="00767418">
      <w:pPr>
        <w:pStyle w:val="Paragrafoelenco"/>
        <w:numPr>
          <w:ilvl w:val="0"/>
          <w:numId w:val="5"/>
        </w:numPr>
        <w:suppressAutoHyphens/>
        <w:snapToGrid w:val="0"/>
        <w:spacing w:before="100" w:after="0" w:line="100" w:lineRule="atLeast"/>
        <w:jc w:val="both"/>
      </w:pPr>
      <w:r>
        <w:t>allo stato attuale non è dato di disporre di un nuovo modello associativo, su base volontaria, ragione per la quale, con ogni probabilità, le tre amministrazioni dovranno provvedere alle rispettive funzioni in via del tutto autonoma e separata</w:t>
      </w:r>
      <w:r w:rsidR="00767418" w:rsidRPr="00D45403">
        <w:t xml:space="preserve">; </w:t>
      </w:r>
    </w:p>
    <w:p w14:paraId="14D5748A" w14:textId="48FECF52" w:rsidR="00DC4A88" w:rsidRDefault="00DC4A88" w:rsidP="00537BC7">
      <w:pPr>
        <w:suppressAutoHyphens/>
        <w:spacing w:before="100" w:after="0" w:line="100" w:lineRule="atLeast"/>
        <w:jc w:val="both"/>
        <w:rPr>
          <w:rFonts w:ascii="Times New Roman" w:eastAsia="Times New Roman" w:hAnsi="Times New Roman"/>
          <w:lang w:eastAsia="zh-CN"/>
        </w:rPr>
      </w:pPr>
    </w:p>
    <w:p w14:paraId="7264592C" w14:textId="0EBDEBC4" w:rsidR="00424007" w:rsidRDefault="00424007" w:rsidP="00537BC7">
      <w:pPr>
        <w:suppressAutoHyphens/>
        <w:spacing w:before="100" w:after="0" w:line="100" w:lineRule="atLeast"/>
        <w:jc w:val="both"/>
        <w:rPr>
          <w:rFonts w:ascii="Times New Roman" w:eastAsia="Times New Roman" w:hAnsi="Times New Roman"/>
          <w:lang w:eastAsia="zh-CN"/>
        </w:rPr>
      </w:pPr>
    </w:p>
    <w:p w14:paraId="270A7E92" w14:textId="58A65BA3" w:rsidR="00424007" w:rsidRDefault="00424007" w:rsidP="00537BC7">
      <w:pPr>
        <w:suppressAutoHyphens/>
        <w:spacing w:before="100" w:after="0" w:line="100" w:lineRule="atLeast"/>
        <w:jc w:val="both"/>
        <w:rPr>
          <w:rFonts w:ascii="Times New Roman" w:eastAsia="Times New Roman" w:hAnsi="Times New Roman"/>
          <w:lang w:eastAsia="zh-CN"/>
        </w:rPr>
      </w:pPr>
    </w:p>
    <w:p w14:paraId="011669B0" w14:textId="53E146E0" w:rsidR="00424007" w:rsidRDefault="00424007" w:rsidP="00537BC7">
      <w:pPr>
        <w:suppressAutoHyphens/>
        <w:spacing w:before="100" w:after="0" w:line="100" w:lineRule="atLeast"/>
        <w:jc w:val="both"/>
        <w:rPr>
          <w:rFonts w:ascii="Times New Roman" w:eastAsia="Times New Roman" w:hAnsi="Times New Roman"/>
          <w:lang w:eastAsia="zh-CN"/>
        </w:rPr>
      </w:pPr>
    </w:p>
    <w:p w14:paraId="0468D33A" w14:textId="77777777" w:rsidR="00424007" w:rsidRDefault="00424007" w:rsidP="00537BC7">
      <w:pPr>
        <w:suppressAutoHyphens/>
        <w:spacing w:before="100" w:after="0" w:line="100" w:lineRule="atLeast"/>
        <w:jc w:val="both"/>
        <w:rPr>
          <w:rFonts w:ascii="Times New Roman" w:eastAsia="Times New Roman" w:hAnsi="Times New Roman"/>
          <w:lang w:eastAsia="zh-CN"/>
        </w:rPr>
      </w:pPr>
    </w:p>
    <w:p w14:paraId="2B8075C8" w14:textId="429B4985" w:rsidR="00872FBA" w:rsidRDefault="00872FBA" w:rsidP="00537BC7">
      <w:pPr>
        <w:suppressAutoHyphens/>
        <w:spacing w:before="100" w:after="0" w:line="100" w:lineRule="atLeast"/>
        <w:jc w:val="both"/>
        <w:rPr>
          <w:rFonts w:ascii="Times New Roman" w:eastAsia="Times New Roman" w:hAnsi="Times New Roman"/>
          <w:lang w:eastAsia="zh-CN"/>
        </w:rPr>
      </w:pPr>
    </w:p>
    <w:p w14:paraId="5A6058FE" w14:textId="3D42F4C5" w:rsidR="00501066" w:rsidRDefault="00501066" w:rsidP="00537BC7">
      <w:pPr>
        <w:suppressAutoHyphens/>
        <w:spacing w:before="100" w:after="0" w:line="100" w:lineRule="atLeast"/>
        <w:jc w:val="both"/>
        <w:rPr>
          <w:rFonts w:ascii="Times New Roman" w:eastAsia="Times New Roman" w:hAnsi="Times New Roman"/>
          <w:lang w:eastAsia="zh-CN"/>
        </w:rPr>
      </w:pPr>
    </w:p>
    <w:p w14:paraId="4CB50401" w14:textId="77777777" w:rsidR="00501066" w:rsidRDefault="00501066" w:rsidP="00537BC7">
      <w:pPr>
        <w:suppressAutoHyphens/>
        <w:spacing w:before="100" w:after="0" w:line="100" w:lineRule="atLeast"/>
        <w:jc w:val="both"/>
        <w:rPr>
          <w:rFonts w:ascii="Times New Roman" w:eastAsia="Times New Roman" w:hAnsi="Times New Roman"/>
          <w:lang w:eastAsia="zh-CN"/>
        </w:rPr>
      </w:pPr>
    </w:p>
    <w:p w14:paraId="0C23210D" w14:textId="57677D6B" w:rsidR="00372078" w:rsidRPr="00C80EF2" w:rsidRDefault="00C80EF2" w:rsidP="00537BC7">
      <w:pPr>
        <w:suppressAutoHyphens/>
        <w:spacing w:before="100" w:after="0" w:line="100" w:lineRule="atLeast"/>
        <w:jc w:val="both"/>
        <w:rPr>
          <w:rFonts w:ascii="Times New Roman" w:eastAsia="Times New Roman" w:hAnsi="Times New Roman"/>
          <w:b/>
          <w:bCs/>
          <w:lang w:eastAsia="zh-CN"/>
        </w:rPr>
      </w:pPr>
      <w:r w:rsidRPr="00C80EF2">
        <w:rPr>
          <w:rFonts w:ascii="Times New Roman" w:eastAsia="Times New Roman" w:hAnsi="Times New Roman"/>
          <w:b/>
          <w:bCs/>
          <w:lang w:eastAsia="zh-CN"/>
        </w:rPr>
        <w:lastRenderedPageBreak/>
        <w:t>CONTESTO ESTERNO</w:t>
      </w:r>
    </w:p>
    <w:p w14:paraId="3F71B234" w14:textId="77777777" w:rsidR="00372078" w:rsidRPr="00A23C51" w:rsidRDefault="00372078" w:rsidP="00372078">
      <w:pPr>
        <w:jc w:val="both"/>
        <w:rPr>
          <w:rFonts w:cstheme="minorHAnsi"/>
        </w:rPr>
      </w:pPr>
      <w:r w:rsidRPr="00A23C51">
        <w:rPr>
          <w:rFonts w:cstheme="minorHAnsi"/>
        </w:rPr>
        <w:t>L’analisi del contesto esterno ha come obiettivo quello di evidenziare come le caratteristiche dell’ambiente nel quale l’Amministrazione è chiamata a operare, con riferimento, ad esempio, a variabili culturali, criminologiche, sociali ed economiche del territorio possano favorire il verificarsi di fenomeni corruttivi al proprio interno. A tal fine, possono essere considerati sia i fattori legati al territorio della Provincia di Trento, sia le relazioni e le possibili influenze esistenti con i portatori e i rappresentanti di interessi esterni. Comprendere le dinamiche territoriali di riferimento e le principali influenze e pressioni, a cui l’Amministrazione è sottoposta, consente infatti di indirizzare con maggiore efficacia e precisione la strategia di gestione del rischio.</w:t>
      </w:r>
    </w:p>
    <w:p w14:paraId="07CE546E" w14:textId="39F6C412" w:rsidR="00372078" w:rsidRPr="00A23C51" w:rsidRDefault="00372078" w:rsidP="00372078">
      <w:pPr>
        <w:jc w:val="both"/>
        <w:rPr>
          <w:rFonts w:cstheme="minorHAnsi"/>
        </w:rPr>
      </w:pPr>
      <w:r w:rsidRPr="00A23C51">
        <w:rPr>
          <w:rFonts w:cstheme="minorHAnsi"/>
        </w:rPr>
        <w:t>Il contesto esterno può essere utile a individuare quali processi possono essere presi a riferimento per individuare i settori di intervento di maggior delicatezza (es. appalti, erogazione contributi..) prendendo cioè spunto dai fenomeni corruttivi che si sono verificati con maggior frequenza nel bacino territoriale di riferimento, ad esempio nel contesto delle attività economiche maggiormente soggette a infiltrazione criminale negli anni immediatamente precedenti o a fenomeni che hanno dato luogo a episodi di cattiva amministrazione, censurati dalle Corti o dalla stampa, in cui concentrare l’attenzione e focalizzare le misure di prevenzione della corruzione.</w:t>
      </w:r>
    </w:p>
    <w:p w14:paraId="4ACCAA93" w14:textId="11C03D59" w:rsidR="00372078" w:rsidRPr="00A23C51" w:rsidRDefault="00372078" w:rsidP="00372078">
      <w:pPr>
        <w:jc w:val="both"/>
        <w:rPr>
          <w:rFonts w:cstheme="minorHAnsi"/>
        </w:rPr>
      </w:pPr>
      <w:r w:rsidRPr="00A23C51">
        <w:rPr>
          <w:rFonts w:cstheme="minorHAnsi"/>
        </w:rPr>
        <w:t>Prendendo in considerazione le fonti autorevoli che si sono occupate di una analisi di tale tematica, al fine di valutare il contesto esterno risulta importante prendere in considerazione i seguenti riferimenti:</w:t>
      </w:r>
    </w:p>
    <w:p w14:paraId="6AC631C6" w14:textId="77777777" w:rsidR="00372078" w:rsidRPr="00A23C51" w:rsidRDefault="00372078" w:rsidP="00372078">
      <w:pPr>
        <w:pStyle w:val="Paragrafoelenco"/>
        <w:numPr>
          <w:ilvl w:val="0"/>
          <w:numId w:val="12"/>
        </w:numPr>
        <w:spacing w:after="0" w:line="240" w:lineRule="auto"/>
        <w:jc w:val="both"/>
        <w:rPr>
          <w:rFonts w:cstheme="minorHAnsi"/>
          <w:u w:val="single"/>
        </w:rPr>
      </w:pPr>
      <w:r w:rsidRPr="00A23C51">
        <w:rPr>
          <w:rFonts w:cstheme="minorHAnsi"/>
          <w:u w:val="single"/>
        </w:rPr>
        <w:t>Gruppo di lavoro in materia di sicurezza della Provincia autonoma di Trento</w:t>
      </w:r>
    </w:p>
    <w:p w14:paraId="280CCB21" w14:textId="7A0E1411" w:rsidR="00652193" w:rsidRPr="00A23C51" w:rsidRDefault="00372078" w:rsidP="00372078">
      <w:pPr>
        <w:jc w:val="both"/>
        <w:rPr>
          <w:rFonts w:cstheme="minorHAnsi"/>
        </w:rPr>
      </w:pPr>
      <w:r w:rsidRPr="00A23C51">
        <w:rPr>
          <w:rFonts w:cstheme="minorHAnsi"/>
        </w:rPr>
        <w:t xml:space="preserve">Con deliberazione della Giunta provinciale n. 1695 dell’8 agosto 2012 è stato istituito un gruppo di lavoro in materia di sicurezza, il quale è investito del compito di analizzare la vulnerabilità all’infiltrazione criminale del sistema economico trentino, al fine di sviluppare risposte preventive attraverso il monitoraggio dei segnali di allarme. Con deliberazione del medesimo organo (d.d. 4 settembre 2014, n. 1492) è stato mantenuto detto gruppo di lavoro (confermato da ultimo con deliberazione della Giunta provinciale del 21 agosto 2020) e ne sono state implementate le funzioni con il compito di coordinare la realizzazione di indagini statistiche sull’infiltrazione criminale nel sistema economico trentino, nonché sulla percezione del fenomeno della corruzione da parte degli operatori economici presenti sul territorio provinciale. L’attività di indagine statistica si svolge annualmente, per settori economici, in modo da garantire l’adeguata rappresentazione delle problematiche suindicate. Nel mese di ottobre 2018, il Gruppo di lavoro in materia di sicurezza ha presentato i risultati dell’attività svolta a partire dal 2012. E’ stato quindi pubblicato il “Rapporto sulla sicurezza in Trentino”, che conferma gli esiti delle richiamate indagini statistiche, evidenziando come, allo stato attuale, il rispetto della legalità risulti adeguatamente garantito sull’intero territorio provinciale. </w:t>
      </w:r>
    </w:p>
    <w:p w14:paraId="19BBD539" w14:textId="6E80258E" w:rsidR="00652193" w:rsidRPr="00A23C51" w:rsidRDefault="00652193" w:rsidP="00652193">
      <w:pPr>
        <w:jc w:val="both"/>
        <w:rPr>
          <w:rFonts w:cstheme="minorHAnsi"/>
        </w:rPr>
      </w:pPr>
      <w:r w:rsidRPr="00A23C51">
        <w:rPr>
          <w:rFonts w:cstheme="minorHAnsi"/>
        </w:rPr>
        <w:t>Questo studio rende una fotografia complessiva della diffusione della criminalità sul territorio trentino sia rispetto allo stato di infiltrazione criminale nel tessuto economico, sia in termini di fenomeni corruttivi nell’amministrazione pubblica.</w:t>
      </w:r>
    </w:p>
    <w:p w14:paraId="06C08794" w14:textId="77777777" w:rsidR="00652193" w:rsidRPr="00A23C51" w:rsidRDefault="00652193" w:rsidP="00652193">
      <w:pPr>
        <w:jc w:val="both"/>
        <w:rPr>
          <w:rFonts w:cstheme="minorHAnsi"/>
        </w:rPr>
      </w:pPr>
      <w:r w:rsidRPr="00A23C51">
        <w:rPr>
          <w:rFonts w:cstheme="minorHAnsi"/>
        </w:rPr>
        <w:t>In particolare, secondo i dati forniti dal Dipartimento della pubblica sicurezza del Ministero dell’Interno, con riferimento all’anno 2017, i delitti commessi sono in totale 2.232.552, con una flessione rispetto ai 2.457.764 del 2016. Sono calati gli omicidi, le rapine, i furti in abitazione, questi ultimi, presumibilmente per l’impiego di tecnologie più sofisticate antintrusione. Avendo riguardo ad un indice riferito ad ogni 100.000 abitanti, mentre Milano risulta avere un indice di 7375 delitti (con un totale di 237.365 delitti (denunciati), Trento risulta avere un indice di 3.030 delitti; ben inferiore alla media nazionale per provincia che è di 4.105 delitti.</w:t>
      </w:r>
    </w:p>
    <w:p w14:paraId="231DECC5" w14:textId="77777777" w:rsidR="00652193" w:rsidRPr="00A23C51" w:rsidRDefault="00652193" w:rsidP="00652193">
      <w:pPr>
        <w:jc w:val="both"/>
        <w:rPr>
          <w:rFonts w:cstheme="minorHAnsi"/>
        </w:rPr>
      </w:pPr>
      <w:r w:rsidRPr="00A23C51">
        <w:rPr>
          <w:rFonts w:cstheme="minorHAnsi"/>
        </w:rPr>
        <w:t>Lo studio citato privilegia però un giudizio sull’andamento della criminalità “settoriale”, anziché una considerazione complessiva: “</w:t>
      </w:r>
      <w:r w:rsidRPr="00A23C51">
        <w:rPr>
          <w:rFonts w:cstheme="minorHAnsi"/>
          <w:i/>
          <w:iCs/>
        </w:rPr>
        <w:t xml:space="preserve">Con il D.Lgs. 25 maggio 2015, n. 90, l’Italia ha recepito la direttiva UE 2015/849 in materia di riciclaggio, con la quale sono stare fissate le misure dirette a prevenire il riciclaggio e il favoreggiamento del terrorismo. In questo settore, il volume delle investigazioni, quale risultato dalla </w:t>
      </w:r>
      <w:r w:rsidRPr="00A23C51">
        <w:rPr>
          <w:rFonts w:cstheme="minorHAnsi"/>
          <w:i/>
          <w:iCs/>
        </w:rPr>
        <w:lastRenderedPageBreak/>
        <w:t>Relazioni del Comitato di sicurezza finanziaria, appare significativamente incrementato, come pure risulta aumentato in maniera esponenziale il numero delle segnalazioni di operazioni sospette trasmesse dalla D.I.A. (Direzione Investigativa Antimafia) alla Direzione Nazionale Antimafia e Anticorruzione. Così, nel corso del 2016 la U.I.F. (Unità Investigativa Finanziaria) della Banca d’Italia ha ricevuto ben 101.065 segnalazioni di operazioni sospette, con un incremento di oltre 18.000 unità rispetto al 2015 (basti pensare che nel 2012 erano solo 67.000): l’assoluta maggioranza delle segnalazioni (100.435 su 101.065) riguarda il riciclaggio, mentre le altre riguardano il favoreggiamento del terrorismo. Anche nella Regione Trentino Alto-Adige, l’incremento risulta essere stato significativo (del 13,4%). Va però rilevato che solo al 42% delle segnalazioni va riconosciuta una “rischiosità sostanziale” effettiva, corrispondente in altre parole al livello di rischio attribuito di fatto dai segnalanti (...)</w:t>
      </w:r>
      <w:r w:rsidRPr="00A23C51">
        <w:rPr>
          <w:rFonts w:cstheme="minorHAnsi"/>
        </w:rPr>
        <w:t>”</w:t>
      </w:r>
    </w:p>
    <w:p w14:paraId="4E10F74A" w14:textId="77777777" w:rsidR="00652193" w:rsidRPr="00A23C51" w:rsidRDefault="00652193" w:rsidP="00652193">
      <w:pPr>
        <w:jc w:val="both"/>
        <w:rPr>
          <w:rFonts w:cstheme="minorHAnsi"/>
        </w:rPr>
      </w:pPr>
      <w:r w:rsidRPr="00A23C51">
        <w:rPr>
          <w:rFonts w:cstheme="minorHAnsi"/>
        </w:rPr>
        <w:t>Per documentare la consistenza del fenomeno, nel secondo semestre del 2017, la DIA ha analizzato 45.815 segnalazioni di operazioni sospette, con conseguente esame di 203.830 soggetti segnalati o collegati; da queste sono state selezionate 5.044 segnalazioni, di cui 932 di diretta attinenza alla criminalità mafiosa, 4.112 riferibili a “reati spia/sentinella”. Il maggior numero di tali operazioni è stato effettuato nelle regioni settentrionali, in particolare (il 20%) in Lombardia. Il Trentino Alto-Adige non è andato immune né da segnalazioni attinenti alla criminalità organizzata (177), né da quelle attinenti a reati spia (444).</w:t>
      </w:r>
    </w:p>
    <w:p w14:paraId="7BEBB4C9" w14:textId="77777777" w:rsidR="00652193" w:rsidRPr="00A23C51" w:rsidRDefault="00652193" w:rsidP="00652193">
      <w:pPr>
        <w:jc w:val="both"/>
        <w:rPr>
          <w:rFonts w:cstheme="minorHAnsi"/>
        </w:rPr>
      </w:pPr>
      <w:r w:rsidRPr="00A23C51">
        <w:rPr>
          <w:rFonts w:cstheme="minorHAnsi"/>
        </w:rPr>
        <w:t>Ed ancora lo studio precisa che: “Nel registro REGE della Procura di Trento sono state iscritte nel periodo 1° luglio 2016 - 30 giugno 2017 n. 5.798 denunce di reato contro persone note e 9.192 contro persone ignote; in totale 14.990 iscrizioni, con una flessione rispetto all’anno precedente, dove il dato complessivo era stato di 15.806 iscrizioni. Il dato è però comprensivo anche delle contravvenzioni e dei reati di competenza del Giudice di Pace, sicché è opportuna piuttosto la disaggregazione anziché una considerazione complessiva. Quanto ai reati di criminalità organizzata ed in particolare quelli di competenza della DDA (Direzione Distrettuale Antimafia), il numero delle iscrizioni risulta oscillare fra le 18 e le 20 per ogni anno considerato dal 1° luglio 2012 al 30 giugno 2017 e la maggioranza è costituita dalle associazioni considerate dall’art. 74 del Testo unico in materia di sostanze stupefacenti.</w:t>
      </w:r>
    </w:p>
    <w:p w14:paraId="1C837A3C" w14:textId="77777777" w:rsidR="00652193" w:rsidRPr="00A23C51" w:rsidRDefault="00652193" w:rsidP="00652193">
      <w:pPr>
        <w:jc w:val="both"/>
        <w:rPr>
          <w:rFonts w:cstheme="minorHAnsi"/>
        </w:rPr>
      </w:pPr>
      <w:r w:rsidRPr="00A23C51">
        <w:rPr>
          <w:rFonts w:cstheme="minorHAnsi"/>
        </w:rPr>
        <w:t>Al riguardo merita di essere segnalato “l’allarme” lanciato dal Procuratore Nazionale Antimafia, il quale nella Relazione finale della Commissione parlamentare antidroga, per descrivere l’espansione della criminalità organizzata nelle Regioni settentrionali, afferma: “</w:t>
      </w:r>
      <w:r w:rsidRPr="00A23C51">
        <w:rPr>
          <w:rFonts w:cstheme="minorHAnsi"/>
          <w:i/>
          <w:iCs/>
        </w:rPr>
        <w:t>la presenza della mafia nel Veneto, Friuli Venezia Giulia, Trentino Alto-Adige, non appare così consolidata e strutturata come nelle Regioni del Nord-ovest, ma diversi elementi fanno ritenere che sia in atto un’attività criminosa più intensa di quanto finora emerso, perché l’area è considerata molto attrattiva</w:t>
      </w:r>
      <w:r w:rsidRPr="00A23C51">
        <w:rPr>
          <w:rFonts w:cstheme="minorHAnsi"/>
        </w:rPr>
        <w:t>”. Ed ancora: “</w:t>
      </w:r>
      <w:r w:rsidRPr="00A23C51">
        <w:rPr>
          <w:rFonts w:cstheme="minorHAnsi"/>
          <w:i/>
          <w:iCs/>
        </w:rPr>
        <w:t>nel Trentino e nell’Alto-Adige, pur non evidenziandosi il radicamento di organizzazioni mafiose, sono stati individuati soggetti contigui a quelli criminali, che si sono inseriti nel nuovo contesto socio-economico e che operando direttamente o tramite prestanome hanno investito risorse di provenienza illecita</w:t>
      </w:r>
      <w:r w:rsidRPr="00A23C51">
        <w:rPr>
          <w:rFonts w:cstheme="minorHAnsi"/>
        </w:rPr>
        <w:t>”.</w:t>
      </w:r>
    </w:p>
    <w:p w14:paraId="7AF502F8" w14:textId="77777777" w:rsidR="00652193" w:rsidRPr="00A23C51" w:rsidRDefault="00652193" w:rsidP="00652193">
      <w:pPr>
        <w:jc w:val="both"/>
        <w:rPr>
          <w:rFonts w:cstheme="minorHAnsi"/>
        </w:rPr>
      </w:pPr>
      <w:r w:rsidRPr="00A23C51">
        <w:rPr>
          <w:rFonts w:cstheme="minorHAnsi"/>
        </w:rPr>
        <w:t>Sempre dall’esame delle statistiche della Procura della Repubblica sembra emergere che:</w:t>
      </w:r>
    </w:p>
    <w:p w14:paraId="247FE69F" w14:textId="77777777" w:rsidR="00652193" w:rsidRPr="00A23C51" w:rsidRDefault="00652193" w:rsidP="00652193">
      <w:pPr>
        <w:jc w:val="both"/>
        <w:rPr>
          <w:rFonts w:cstheme="minorHAnsi"/>
          <w:i/>
          <w:iCs/>
        </w:rPr>
      </w:pPr>
      <w:r w:rsidRPr="00A23C51">
        <w:rPr>
          <w:rFonts w:cstheme="minorHAnsi"/>
          <w:i/>
          <w:iCs/>
        </w:rPr>
        <w:t>“- quanto ai reati di riciclaggio, usura, violazione delle norme di prevenzione, il numero di reati sopravvenuti da 1.7.2013 a 30.6.2014, da 1.7.2014 a 30.6.2015, da 1.7.2015 a 30.6.2016, da 1.7.2016 a 30.6.2017 è pressoché stabile e modesto aggirantesi sull’ordine della trentina;</w:t>
      </w:r>
    </w:p>
    <w:p w14:paraId="59BF256C" w14:textId="77777777" w:rsidR="00652193" w:rsidRPr="00A23C51" w:rsidRDefault="00652193" w:rsidP="00652193">
      <w:pPr>
        <w:jc w:val="both"/>
        <w:rPr>
          <w:rFonts w:cstheme="minorHAnsi"/>
        </w:rPr>
      </w:pPr>
      <w:r w:rsidRPr="00A23C51">
        <w:rPr>
          <w:rFonts w:cstheme="minorHAnsi"/>
          <w:i/>
          <w:iCs/>
        </w:rPr>
        <w:t>- quanto ai reati di corruzione, le denunce di reato nell’ultimo periodo risultano anch’esse pressoché insignificanti, mentre si è quasi raddoppiato (da 24 a 44) il numero delle denunce per abuso di ufficio. Va tuttavia considerato che l’incremento delle denunce per questa ipotesi delittuosa può non essere significativo, essendo ben possibile che nel seguito dell’iter processuale cada il fondamento della violazione</w:t>
      </w:r>
      <w:r w:rsidRPr="00A23C51">
        <w:rPr>
          <w:rFonts w:cstheme="minorHAnsi"/>
        </w:rPr>
        <w:t>.”</w:t>
      </w:r>
    </w:p>
    <w:p w14:paraId="150B7AE7" w14:textId="77777777" w:rsidR="00652193" w:rsidRPr="00A23C51" w:rsidRDefault="00652193" w:rsidP="00652193">
      <w:pPr>
        <w:jc w:val="both"/>
        <w:rPr>
          <w:rFonts w:cstheme="minorHAnsi"/>
        </w:rPr>
      </w:pPr>
      <w:r w:rsidRPr="00A23C51">
        <w:rPr>
          <w:rFonts w:cstheme="minorHAnsi"/>
        </w:rPr>
        <w:t>Le conclusioni tracciate nel lavoro menzionato, che qui si riportano integralmente, sono sufficientemente tranquillizzanti e rassicuranti: “</w:t>
      </w:r>
      <w:r w:rsidRPr="00A23C51">
        <w:rPr>
          <w:rFonts w:cstheme="minorHAnsi"/>
          <w:i/>
          <w:iCs/>
        </w:rPr>
        <w:t xml:space="preserve">Infatti, sebbene il tessuto economico trentino appaia - rispetto a quello di altre Regioni - sostanzialmente florido e appetibile per gli operatori, e di conseguenza non assolutamente immune </w:t>
      </w:r>
      <w:r w:rsidRPr="00A23C51">
        <w:rPr>
          <w:rFonts w:cstheme="minorHAnsi"/>
          <w:i/>
          <w:iCs/>
        </w:rPr>
        <w:lastRenderedPageBreak/>
        <w:t>dalla “possibilità” di infiltrazioni criminose, attualmente il rispetto della legalità sembra adeguatamente garantito. Quanto, invece, alla percezione dell’illegalità da parte degli operatori del Trentino, emerge la richiesta di una maggiore giustizia e sicurezza, che sarà tenuta in debita considerazione negli sviluppi futuri dell’attività del gruppo di lavoro. Il tema della sicurezza e della misura e della percezione di insicurezza da parte dei cittadini è stato correttamente tenuto presente dal gruppo di lavoro, ove si osservi che l’art. 9 dello Statuto di autonomia attribuisce alla Provincia una competenza legislativa secondaria in materia di sicurezza locale, e che gli artt. 1 e 3 della legge provinciale 27 giugno 2005, n. 8, dispongono che la Provincia promuova la realizzazione di un sistema integrato di sicurezza</w:t>
      </w:r>
      <w:r w:rsidRPr="00A23C51">
        <w:rPr>
          <w:rFonts w:cstheme="minorHAnsi"/>
        </w:rPr>
        <w:t>”.</w:t>
      </w:r>
    </w:p>
    <w:p w14:paraId="452DBD36" w14:textId="20B9C9AB" w:rsidR="00652193" w:rsidRPr="00A23C51" w:rsidRDefault="00652193" w:rsidP="00652193">
      <w:pPr>
        <w:jc w:val="both"/>
        <w:rPr>
          <w:rFonts w:cstheme="minorHAnsi"/>
        </w:rPr>
      </w:pPr>
    </w:p>
    <w:p w14:paraId="7EAAC8F4" w14:textId="77777777" w:rsidR="00652193" w:rsidRPr="00A23C51" w:rsidRDefault="00652193" w:rsidP="00652193">
      <w:pPr>
        <w:pStyle w:val="Paragrafoelenco"/>
        <w:numPr>
          <w:ilvl w:val="0"/>
          <w:numId w:val="12"/>
        </w:numPr>
        <w:spacing w:after="0" w:line="240" w:lineRule="auto"/>
        <w:jc w:val="both"/>
        <w:rPr>
          <w:rFonts w:cstheme="minorHAnsi"/>
          <w:u w:val="single"/>
        </w:rPr>
      </w:pPr>
      <w:r w:rsidRPr="00A23C51">
        <w:rPr>
          <w:rFonts w:cstheme="minorHAnsi"/>
          <w:u w:val="single"/>
        </w:rPr>
        <w:t>Rapporto ANAC 2019: “La corruzione in Italia (2016-2019). Numeri, luoghi e contropartite del malaffare</w:t>
      </w:r>
      <w:r w:rsidRPr="00A23C51">
        <w:rPr>
          <w:rFonts w:cstheme="minorHAnsi"/>
        </w:rPr>
        <w:t>”.</w:t>
      </w:r>
    </w:p>
    <w:p w14:paraId="78EC26DB" w14:textId="77777777" w:rsidR="00652193" w:rsidRPr="00A23C51" w:rsidRDefault="00652193" w:rsidP="00652193">
      <w:pPr>
        <w:jc w:val="both"/>
        <w:rPr>
          <w:rFonts w:cstheme="minorHAnsi"/>
        </w:rPr>
      </w:pPr>
      <w:r w:rsidRPr="00A23C51">
        <w:rPr>
          <w:rFonts w:cstheme="minorHAnsi"/>
        </w:rPr>
        <w:t>ANAC ha inoltre pubblicato il 17 ottobre 2019 un rapporto dal titolo</w:t>
      </w:r>
      <w:r w:rsidRPr="00A23C51">
        <w:rPr>
          <w:rFonts w:cstheme="minorHAnsi"/>
          <w:i/>
          <w:iCs/>
        </w:rPr>
        <w:t xml:space="preserve"> “La corruzione in Italia (2016-2019). Numeri, luoghi e contropartite del malaffare</w:t>
      </w:r>
      <w:r w:rsidRPr="00A23C51">
        <w:rPr>
          <w:rFonts w:cstheme="minorHAnsi"/>
        </w:rPr>
        <w:t>”, redatto nell’ambito del Programma Operativo Nazionale “</w:t>
      </w:r>
      <w:r w:rsidRPr="00A23C51">
        <w:rPr>
          <w:rFonts w:cstheme="minorHAnsi"/>
          <w:i/>
          <w:iCs/>
        </w:rPr>
        <w:t>Governance e Capacità Istituzionale 2014-2020</w:t>
      </w:r>
      <w:r w:rsidRPr="00A23C51">
        <w:rPr>
          <w:rFonts w:cstheme="minorHAnsi"/>
        </w:rPr>
        <w:t xml:space="preserve">”, finanziato dall’Unione europea, che punta a definire un set di indicatori in grado di individuare il rischio di corruzione nella Pubblica amministrazione. </w:t>
      </w:r>
    </w:p>
    <w:p w14:paraId="169BA742" w14:textId="77777777" w:rsidR="00652193" w:rsidRPr="00A23C51" w:rsidRDefault="00652193" w:rsidP="00652193">
      <w:pPr>
        <w:jc w:val="both"/>
        <w:rPr>
          <w:rFonts w:cstheme="minorHAnsi"/>
        </w:rPr>
      </w:pPr>
      <w:r w:rsidRPr="00A23C51">
        <w:rPr>
          <w:rFonts w:cstheme="minorHAnsi"/>
        </w:rPr>
        <w:t>Con il supporto del personale della Guardia di Finanza impiegato presso l’ANAC, sono stati analizzati i provvedimenti emessi dall’Autorità giudiziaria nell’ultimo triennio nel caso di commissariamento degli appalti assegnati illecitamente (41 appalti ad oggi). Grazie alle informazioni raccolte, l’Autorità ha potuto redigere un quadro dettagliato delle vicende corruttive in termini di dislocazione geografica, contropartite, enti, settori e soggetti coinvolti. Gli elementi tratti dalle indagini penali possono, a detta di ANAC, fornire importanti indicazioni riguardo la fenomenologia riscontrata in concreto e i fattori che ne agevolano la diffusione, favorendo l’elaborazione di indici sintomatici di possibili comportamenti corruttivi.</w:t>
      </w:r>
    </w:p>
    <w:p w14:paraId="6C6C40A7" w14:textId="63446904" w:rsidR="00652193" w:rsidRPr="00A23C51" w:rsidRDefault="00652193" w:rsidP="00652193">
      <w:pPr>
        <w:jc w:val="both"/>
        <w:rPr>
          <w:rFonts w:cstheme="minorHAnsi"/>
        </w:rPr>
      </w:pPr>
      <w:r w:rsidRPr="00A23C51">
        <w:rPr>
          <w:rFonts w:cstheme="minorHAnsi"/>
        </w:rPr>
        <w:t>Se ne riportano di seguito alcuni stralci particolarmente significati</w:t>
      </w:r>
      <w:r w:rsidR="00424007">
        <w:rPr>
          <w:rFonts w:cstheme="minorHAnsi"/>
        </w:rPr>
        <w:t>vi</w:t>
      </w:r>
      <w:r w:rsidRPr="00A23C51">
        <w:rPr>
          <w:rFonts w:cstheme="minorHAnsi"/>
        </w:rPr>
        <w:t xml:space="preserve"> per l’analisi del contesto esterno in cui opera l’Amministrazione:</w:t>
      </w:r>
    </w:p>
    <w:p w14:paraId="0FF930EB" w14:textId="77777777" w:rsidR="00652193" w:rsidRPr="00A23C51" w:rsidRDefault="00652193" w:rsidP="00652193">
      <w:pPr>
        <w:jc w:val="both"/>
        <w:rPr>
          <w:rFonts w:cstheme="minorHAnsi"/>
        </w:rPr>
      </w:pPr>
      <w:r w:rsidRPr="00A23C51">
        <w:rPr>
          <w:rFonts w:cstheme="minorHAnsi"/>
        </w:rPr>
        <w:t xml:space="preserve">Fra agosto 2016 e agosto 2019 sono state 117 le ordinanze di custodia cautelare per corruzione spiccate dall’Autorità giudiziaria in Italia e correlate in qualche modo al settore degli appalti: esemplificando è quindi possibile affermare che sono stati eseguiti arresti ogni 10 giorni circa. Si tratta in ogni caso di una approssimazione per difetto rispetto al totale, poiché ordinanze che </w:t>
      </w:r>
      <w:r w:rsidRPr="00424007">
        <w:rPr>
          <w:rFonts w:cstheme="minorHAnsi"/>
          <w:i/>
          <w:iCs/>
        </w:rPr>
        <w:t>ictu oculi</w:t>
      </w:r>
      <w:r w:rsidRPr="00A23C51">
        <w:rPr>
          <w:rFonts w:cstheme="minorHAnsi"/>
        </w:rPr>
        <w:t xml:space="preserve"> non rientravano nel perimetro di competenza dell’Anac non sono state acquisite.</w:t>
      </w:r>
    </w:p>
    <w:p w14:paraId="65D670B9" w14:textId="77777777" w:rsidR="00652193" w:rsidRPr="00A23C51" w:rsidRDefault="00652193" w:rsidP="00652193">
      <w:pPr>
        <w:jc w:val="both"/>
        <w:rPr>
          <w:rFonts w:cstheme="minorHAnsi"/>
        </w:rPr>
      </w:pPr>
      <w:r w:rsidRPr="00A23C51">
        <w:rPr>
          <w:rFonts w:cstheme="minorHAnsi"/>
        </w:rPr>
        <w:t>In linea con questa cadenza temporale sono anche i casi di corruzione emersi analizzando i provvedimenti della magistratura: 152, ovvero uno a settimana (solo a considerare quelli scoperti). A essere interessate sono state pressoché tutte le regioni d’Italia, a eccezione del Friuli-Venezia Giulia e del Molise (tab. 1).</w:t>
      </w:r>
    </w:p>
    <w:p w14:paraId="6EAF62BD" w14:textId="77777777" w:rsidR="00652193" w:rsidRPr="00A23C51" w:rsidRDefault="00652193" w:rsidP="00652193">
      <w:pPr>
        <w:ind w:firstLine="708"/>
        <w:jc w:val="both"/>
        <w:rPr>
          <w:rFonts w:cstheme="minorHAnsi"/>
        </w:rPr>
      </w:pPr>
    </w:p>
    <w:p w14:paraId="596BDE53" w14:textId="77777777" w:rsidR="00652193" w:rsidRPr="00A23C51" w:rsidRDefault="00652193" w:rsidP="00652193">
      <w:pPr>
        <w:ind w:firstLine="708"/>
        <w:jc w:val="both"/>
        <w:rPr>
          <w:rFonts w:eastAsia="Times New Roman"/>
        </w:rPr>
      </w:pPr>
      <w:r w:rsidRPr="00A23C51">
        <w:rPr>
          <w:rFonts w:cstheme="minorHAnsi"/>
        </w:rPr>
        <w:t xml:space="preserve"> </w:t>
      </w:r>
      <w:r w:rsidRPr="00A23C51">
        <w:rPr>
          <w:rFonts w:eastAsia="Times New Roman"/>
          <w:noProof/>
        </w:rPr>
        <w:drawing>
          <wp:inline distT="0" distB="0" distL="0" distR="0" wp14:anchorId="6BC11947" wp14:editId="69F3B34C">
            <wp:extent cx="4269740" cy="377825"/>
            <wp:effectExtent l="0" t="0" r="0" b="0"/>
            <wp:docPr id="5" name="Immagine 5" descr="page9image1372920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age9image137292070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9740" cy="377825"/>
                    </a:xfrm>
                    <a:prstGeom prst="rect">
                      <a:avLst/>
                    </a:prstGeom>
                    <a:noFill/>
                    <a:ln>
                      <a:noFill/>
                    </a:ln>
                  </pic:spPr>
                </pic:pic>
              </a:graphicData>
            </a:graphic>
          </wp:inline>
        </w:drawing>
      </w:r>
    </w:p>
    <w:p w14:paraId="1A3D0520" w14:textId="77777777" w:rsidR="00652193" w:rsidRPr="00A23C51" w:rsidRDefault="00652193" w:rsidP="00652193">
      <w:pPr>
        <w:ind w:firstLine="708"/>
        <w:jc w:val="both"/>
        <w:rPr>
          <w:rFonts w:cstheme="minorHAnsi"/>
        </w:rPr>
      </w:pPr>
      <w:r w:rsidRPr="00A23C51">
        <w:rPr>
          <w:rFonts w:eastAsia="Times New Roman"/>
          <w:noProof/>
        </w:rPr>
        <w:lastRenderedPageBreak/>
        <w:drawing>
          <wp:inline distT="0" distB="0" distL="0" distR="0" wp14:anchorId="45326A36" wp14:editId="3A218045">
            <wp:extent cx="5220970" cy="3145580"/>
            <wp:effectExtent l="0" t="0" r="0" b="0"/>
            <wp:docPr id="7" name="Immagine 7" descr="page9image1372777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age9image137277705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970" cy="3145580"/>
                    </a:xfrm>
                    <a:prstGeom prst="rect">
                      <a:avLst/>
                    </a:prstGeom>
                    <a:noFill/>
                    <a:ln>
                      <a:noFill/>
                    </a:ln>
                  </pic:spPr>
                </pic:pic>
              </a:graphicData>
            </a:graphic>
          </wp:inline>
        </w:drawing>
      </w:r>
      <w:r w:rsidRPr="00A23C51">
        <w:rPr>
          <w:rFonts w:eastAsia="Times New Roman"/>
        </w:rPr>
        <w:fldChar w:fldCharType="begin"/>
      </w:r>
      <w:r w:rsidRPr="00A23C51">
        <w:rPr>
          <w:rFonts w:eastAsia="Times New Roman"/>
        </w:rPr>
        <w:instrText xml:space="preserve"> INCLUDEPICTURE "\\\\ENT-A01.ENTI.TN.LOCAL\\var\\folders\\8v\\1118sf3j7zb8s19zmwy7yrm00000gn\\T\\com.microsoft.Word\\WebArchiveCopyPasteTempFiles\\page9image1372777056" \* MERGEFORMAT </w:instrText>
      </w:r>
      <w:r w:rsidRPr="00A23C51">
        <w:rPr>
          <w:rFonts w:eastAsia="Times New Roman"/>
        </w:rPr>
        <w:fldChar w:fldCharType="end"/>
      </w:r>
    </w:p>
    <w:p w14:paraId="31FA507A" w14:textId="77777777" w:rsidR="00652193" w:rsidRPr="00A23C51" w:rsidRDefault="00652193" w:rsidP="00652193">
      <w:pPr>
        <w:jc w:val="both"/>
        <w:rPr>
          <w:rFonts w:cstheme="minorHAnsi"/>
        </w:rPr>
      </w:pPr>
    </w:p>
    <w:p w14:paraId="6AEE2678" w14:textId="77777777" w:rsidR="00652193" w:rsidRPr="00A23C51" w:rsidRDefault="00652193" w:rsidP="00652193">
      <w:pPr>
        <w:jc w:val="both"/>
        <w:rPr>
          <w:rFonts w:cstheme="minorHAnsi"/>
        </w:rPr>
      </w:pPr>
      <w:r w:rsidRPr="00A23C51">
        <w:rPr>
          <w:rFonts w:cstheme="minorHAnsi"/>
        </w:rPr>
        <w:t>Dal punto di vista numerico, spicca il dato relativo alla Sicilia, dove nel triennio sono stati registrati 28 episodi di corruzione (18,4% del totale) quasi quanti se ne sono verificati in tutte le regioni del Nord (29 nel loro insieme). A seguire, il Lazio (con 22 casi), la Campania (20), la Puglia (16) e la Calabria (14).</w:t>
      </w:r>
    </w:p>
    <w:p w14:paraId="4D46B4BE" w14:textId="77777777" w:rsidR="00652193" w:rsidRPr="00A23C51" w:rsidRDefault="00652193" w:rsidP="00652193">
      <w:pPr>
        <w:jc w:val="both"/>
        <w:rPr>
          <w:rFonts w:cstheme="minorHAnsi"/>
        </w:rPr>
      </w:pPr>
      <w:r w:rsidRPr="00A23C51">
        <w:rPr>
          <w:rFonts w:cstheme="minorHAnsi"/>
        </w:rPr>
        <w:t>Il 74% delle vicende (113 casi) ha riguardato l’assegnazione di appalti pubblici, a conferma della rilevanza del settore e degli interessi illeciti a esso legati per via dell’ingente volume economico. Il restante 26%, per un totale di 39 casi, è composto da ambiti di ulteriore tipo (procedure concorsuali, procedimenti amministrativi, concessioni edilizie, corruzione in atti giudiziari, ecc.).</w:t>
      </w:r>
    </w:p>
    <w:p w14:paraId="2C90AD46" w14:textId="77777777" w:rsidR="00652193" w:rsidRPr="00A23C51" w:rsidRDefault="00652193" w:rsidP="00652193">
      <w:pPr>
        <w:jc w:val="both"/>
        <w:rPr>
          <w:rFonts w:cstheme="minorHAnsi"/>
        </w:rPr>
      </w:pPr>
      <w:r w:rsidRPr="00A23C51">
        <w:rPr>
          <w:rFonts w:cstheme="minorHAnsi"/>
        </w:rPr>
        <w:t>L’analisi dell’Anac ha consentito di dare riscontro fattuale al cd. fenomeno della “smaterializzazione” della tangente, che vede una sempre minor ricorrenza della contropartita economica.</w:t>
      </w:r>
    </w:p>
    <w:p w14:paraId="45541E83" w14:textId="77777777" w:rsidR="00652193" w:rsidRPr="00A23C51" w:rsidRDefault="00652193" w:rsidP="00652193">
      <w:pPr>
        <w:jc w:val="both"/>
        <w:rPr>
          <w:rFonts w:cstheme="minorHAnsi"/>
        </w:rPr>
      </w:pPr>
      <w:r w:rsidRPr="00A23C51">
        <w:rPr>
          <w:rFonts w:cstheme="minorHAnsi"/>
        </w:rPr>
        <w:t>Il denaro continua a rappresentare il principale strumento dell’accordo illecito, tanto da ricorrere nel 48% delle vicende esaminate, sovente per importi esigui (2.000-3.000 euro ma in alcuni casi anche 50-100 euro appena) e talvolta quale percentuale fissa sul valore degli appalti.</w:t>
      </w:r>
    </w:p>
    <w:p w14:paraId="47235763" w14:textId="77777777" w:rsidR="00652193" w:rsidRPr="00A23C51" w:rsidRDefault="00652193" w:rsidP="00652193">
      <w:pPr>
        <w:jc w:val="both"/>
        <w:rPr>
          <w:rFonts w:cstheme="minorHAnsi"/>
        </w:rPr>
      </w:pPr>
      <w:r w:rsidRPr="00A23C51">
        <w:rPr>
          <w:rFonts w:cstheme="minorHAnsi"/>
        </w:rPr>
        <w:t xml:space="preserve">In particolare, il posto di lavoro si configura come la nuova frontiera del </w:t>
      </w:r>
      <w:r w:rsidRPr="007E46C1">
        <w:rPr>
          <w:rFonts w:cstheme="minorHAnsi"/>
          <w:i/>
          <w:iCs/>
        </w:rPr>
        <w:t>pactum sceleris</w:t>
      </w:r>
      <w:r w:rsidRPr="00A23C51">
        <w:rPr>
          <w:rFonts w:cstheme="minorHAnsi"/>
        </w:rPr>
        <w:t>: soprattutto al Sud l’assunzione di coniugi, congiunti o soggetti comunque legati al corrotto (non di rado da ragioni clientelari) è stata riscontrata nel 13% dei casi. A seguire, a testimonianza del sopravvento di più sofisticate modalità criminali, si colloca l’assegnazione di prestazioni professionali (11%), specialmente sotto forma di consulenze, spesso conferite a persone o realtà giuridiche riconducibili al corrotto o in ogni caso compiacenti. Le regalie sono presenti invece nel 7% degli episodi.</w:t>
      </w:r>
    </w:p>
    <w:p w14:paraId="31DC5BF7" w14:textId="77777777" w:rsidR="00652193" w:rsidRPr="00A23C51" w:rsidRDefault="00652193" w:rsidP="00652193">
      <w:pPr>
        <w:jc w:val="both"/>
        <w:rPr>
          <w:rFonts w:cstheme="minorHAnsi"/>
        </w:rPr>
      </w:pPr>
      <w:r w:rsidRPr="00A23C51">
        <w:rPr>
          <w:rFonts w:cstheme="minorHAnsi"/>
        </w:rPr>
        <w:t>A conferma delle molteplici modalità di corruzione, vi è il dato relativo alle utilità non rientranti nelle summenzionate fattispecie, più di un quinto del totale (21%). Oltre a ricorrenti benefit di diversa natura (benzina, pasti, pernotti) non mancano singolari ricompense di varia tipologia (ristrutturazioni edilizie, riparazioni, servizi di pulizia, trasporto mobili, lavori di falegnameria, giardinaggio, tinteggiatura) comprese talvolta le prestazioni sessuali. Tutte contropartite di modesto controvalore indicative della facilità con cui viene talora svenduta la funzione pubblica ricoperta.</w:t>
      </w:r>
    </w:p>
    <w:p w14:paraId="6DC0D4E4" w14:textId="77777777" w:rsidR="00652193" w:rsidRPr="00A23C51" w:rsidRDefault="00652193" w:rsidP="00652193">
      <w:pPr>
        <w:jc w:val="both"/>
        <w:rPr>
          <w:rFonts w:cstheme="minorHAnsi"/>
        </w:rPr>
      </w:pPr>
      <w:r w:rsidRPr="00A23C51">
        <w:rPr>
          <w:rFonts w:cstheme="minorHAnsi"/>
        </w:rPr>
        <w:lastRenderedPageBreak/>
        <w:t>Il quadro complessivo che emerge dal rapporto testimonia che la corruzione, benché all’apparenza scomparsa dal dibattito pubblico, rappresenta un fenomeno radicato e persistente, verso il quale tenere costantemente alta l’attenzione.</w:t>
      </w:r>
    </w:p>
    <w:p w14:paraId="19B41795" w14:textId="77777777" w:rsidR="00652193" w:rsidRPr="00A23C51" w:rsidRDefault="00652193" w:rsidP="00652193">
      <w:pPr>
        <w:jc w:val="both"/>
        <w:rPr>
          <w:rFonts w:cstheme="minorHAnsi"/>
        </w:rPr>
      </w:pPr>
      <w:r w:rsidRPr="00A23C51">
        <w:rPr>
          <w:rFonts w:cstheme="minorHAnsi"/>
        </w:rPr>
        <w:t>(..) A partire dall’approvazione della legge Severino (2012), gli interventi in materia sono stati numerosi e proficui. I vari istituti introdotti nell’ordinamento, il progressivo inasprimento delle pene e, da ultimo, la possibilità di estendere le operazioni sotto copertura anche ai delitti contro la Pubblica amministrazione saranno di certo utili nel contrasto.</w:t>
      </w:r>
    </w:p>
    <w:p w14:paraId="2CF96035" w14:textId="77777777" w:rsidR="00652193" w:rsidRPr="00A23C51" w:rsidRDefault="00652193" w:rsidP="00652193">
      <w:pPr>
        <w:jc w:val="both"/>
        <w:rPr>
          <w:rFonts w:cstheme="minorHAnsi"/>
        </w:rPr>
      </w:pPr>
      <w:r w:rsidRPr="00A23C51">
        <w:rPr>
          <w:rFonts w:cstheme="minorHAnsi"/>
        </w:rPr>
        <w:t>La varietà delle forme di corruzione e dei settori di potenziale interesse impone di ricorrere a un’azione combinata di strumenti preventivi e repressivi, che possano operare secondo comuni linee di coordinamento ed integrazione.</w:t>
      </w:r>
    </w:p>
    <w:p w14:paraId="75ECAA1E" w14:textId="77777777" w:rsidR="00652193" w:rsidRPr="00A23C51" w:rsidRDefault="00652193" w:rsidP="00652193">
      <w:pPr>
        <w:jc w:val="both"/>
        <w:rPr>
          <w:rFonts w:cstheme="minorHAnsi"/>
        </w:rPr>
      </w:pPr>
      <w:r w:rsidRPr="00A23C51">
        <w:rPr>
          <w:rFonts w:cstheme="minorHAnsi"/>
        </w:rPr>
        <w:t xml:space="preserve">Sotto questo aspetto, occorre rilevare che l’Italia non è affatto all’“anno zero”; al contrario, come testimoniano plurimi segnali, negli ultimi anni i progressi sono stati molteplici. I riconoscimenti ricevuti dall’Italia in tema di prevenzione della corruzione, numerosi e per nulla scontati, sono stati rilasciati dai più autorevoli organismi internazionali: Onu, Commissione europea, Ocse Consiglio d’Europa, Ocse, solo per citare i principali. </w:t>
      </w:r>
    </w:p>
    <w:p w14:paraId="667E1F62" w14:textId="77777777" w:rsidR="00652193" w:rsidRPr="00A23C51" w:rsidRDefault="00652193" w:rsidP="00652193">
      <w:pPr>
        <w:jc w:val="both"/>
        <w:rPr>
          <w:rFonts w:cstheme="minorHAnsi"/>
        </w:rPr>
      </w:pPr>
    </w:p>
    <w:p w14:paraId="0F86E4A5" w14:textId="37DEA602" w:rsidR="00652193" w:rsidRPr="00A23C51" w:rsidRDefault="00652193" w:rsidP="00652193">
      <w:pPr>
        <w:jc w:val="both"/>
        <w:rPr>
          <w:rFonts w:cstheme="minorHAnsi"/>
        </w:rPr>
      </w:pPr>
      <w:r w:rsidRPr="00A23C51">
        <w:rPr>
          <w:rFonts w:cstheme="minorHAnsi"/>
        </w:rPr>
        <w:t xml:space="preserve">Di ciò pare consapevole la stessa opinione pubblica, che difatti percepisce l’Italia </w:t>
      </w:r>
      <w:r w:rsidR="007E46C1">
        <w:rPr>
          <w:rFonts w:cstheme="minorHAnsi"/>
        </w:rPr>
        <w:t xml:space="preserve">come </w:t>
      </w:r>
      <w:r w:rsidRPr="00A23C51">
        <w:rPr>
          <w:rFonts w:cstheme="minorHAnsi"/>
        </w:rPr>
        <w:t>un Paese meno corrotto del passato, come mostra il miglioramento nelle classifiche di settore (19 posizioni guadagnate dal 2012). Il cambiamento in atto, peraltro, è anche di tipo culturale.</w:t>
      </w:r>
    </w:p>
    <w:p w14:paraId="127A736D" w14:textId="739375FD" w:rsidR="00652193" w:rsidRPr="00A23C51" w:rsidRDefault="00652193" w:rsidP="00652193">
      <w:pPr>
        <w:jc w:val="both"/>
        <w:rPr>
          <w:rFonts w:cstheme="minorHAnsi"/>
        </w:rPr>
      </w:pPr>
      <w:r w:rsidRPr="00A23C51">
        <w:rPr>
          <w:rFonts w:cstheme="minorHAnsi"/>
        </w:rPr>
        <w:t xml:space="preserve">Si può quindi affermare, nel complesso, che le condizioni del contesto esterno, individuabile nell’intero territorio provinciale, </w:t>
      </w:r>
      <w:r w:rsidR="00AB0061">
        <w:rPr>
          <w:rFonts w:cstheme="minorHAnsi"/>
        </w:rPr>
        <w:t xml:space="preserve">secondo il rapporto ANAC 2019, </w:t>
      </w:r>
      <w:r w:rsidRPr="00A23C51">
        <w:rPr>
          <w:rFonts w:cstheme="minorHAnsi"/>
        </w:rPr>
        <w:t xml:space="preserve">non siano critiche e che il grado di integrità morale del </w:t>
      </w:r>
      <w:r w:rsidRPr="00AB0061">
        <w:rPr>
          <w:rFonts w:cstheme="minorHAnsi"/>
        </w:rPr>
        <w:t>contesto ambientale circostante sia buono.</w:t>
      </w:r>
    </w:p>
    <w:p w14:paraId="446E5715" w14:textId="77777777" w:rsidR="00D50D34" w:rsidRPr="00A23C51" w:rsidRDefault="00D50D34" w:rsidP="00652193">
      <w:pPr>
        <w:jc w:val="both"/>
        <w:rPr>
          <w:rFonts w:cstheme="minorHAnsi"/>
        </w:rPr>
      </w:pPr>
    </w:p>
    <w:p w14:paraId="343FD9E6" w14:textId="77777777" w:rsidR="00D50D34" w:rsidRPr="00A23C51" w:rsidRDefault="00D50D34" w:rsidP="00D50D34">
      <w:pPr>
        <w:pStyle w:val="Paragrafoelenco"/>
        <w:numPr>
          <w:ilvl w:val="0"/>
          <w:numId w:val="12"/>
        </w:numPr>
        <w:spacing w:after="0" w:line="240" w:lineRule="auto"/>
        <w:jc w:val="both"/>
        <w:rPr>
          <w:rFonts w:cstheme="minorHAnsi"/>
          <w:u w:val="single"/>
        </w:rPr>
      </w:pPr>
      <w:r w:rsidRPr="00A23C51">
        <w:rPr>
          <w:rFonts w:cstheme="minorHAnsi"/>
          <w:u w:val="single"/>
        </w:rPr>
        <w:t>Relazioni di inaugurazione dell’anno giudiziario</w:t>
      </w:r>
    </w:p>
    <w:p w14:paraId="109721D4" w14:textId="77777777" w:rsidR="00D50D34" w:rsidRPr="00A23C51" w:rsidRDefault="00D50D34" w:rsidP="00D50D34">
      <w:pPr>
        <w:jc w:val="both"/>
        <w:rPr>
          <w:rFonts w:cstheme="minorHAnsi"/>
        </w:rPr>
      </w:pPr>
      <w:r w:rsidRPr="00A23C51">
        <w:rPr>
          <w:rFonts w:cstheme="minorHAnsi"/>
        </w:rPr>
        <w:t xml:space="preserve">Per farsi un’idea più completa e precisa del contesto esterno, si sono esaminate le Relazioni di inaugurazione dell’anno giudiziario 2020, riferita all’attività 2019, e dell’anno giudiziario 2021, riferita all’anno 2020, della Sezione giurisdizionale della Corte dei Conti di Trento, nonché del Procuratore generale della medesima Corte. Si sono inoltre esaminate le Relazioni di inaugurazione dell’anno giudiziario 2021, riferita all’anno 2020, del Presidente del Tribunale Amministrativo Regionale di Trento e del Presidente della Corte d’appello di Trento. </w:t>
      </w:r>
    </w:p>
    <w:p w14:paraId="10F96A41" w14:textId="77777777" w:rsidR="00D50D34" w:rsidRPr="00A23C51" w:rsidRDefault="00D50D34" w:rsidP="00D50D34">
      <w:pPr>
        <w:jc w:val="both"/>
        <w:rPr>
          <w:rFonts w:cstheme="minorHAnsi"/>
        </w:rPr>
      </w:pPr>
      <w:r w:rsidRPr="00A23C51">
        <w:rPr>
          <w:rFonts w:cstheme="minorHAnsi"/>
        </w:rPr>
        <w:t>In esito a tale esame, si ritengono condivisibili le conclusioni tratte, in particolare, dalla relazione del Presidente della Sezione giurisdizionale della Corte dei Conti dell’anno 2020, che qui si riprendono: “</w:t>
      </w:r>
      <w:r w:rsidRPr="00A23C51">
        <w:rPr>
          <w:rFonts w:cstheme="minorHAnsi"/>
          <w:i/>
          <w:iCs/>
        </w:rPr>
        <w:t>il sostrato amministrativo della Provincia di Trento resta sostanzialmente sano ed i fenomeni di mala gestio restano relegati nella loro episodicità ma, soprattutto, non assurgono mai a prodotto esponenziale di diffuse illegalità e di una cultura del saccheggio della Pubblica Amministrazione che, purtroppo caratterizza altre realtà</w:t>
      </w:r>
      <w:r w:rsidRPr="00A23C51">
        <w:rPr>
          <w:rFonts w:cstheme="minorHAnsi"/>
        </w:rPr>
        <w:t xml:space="preserve">.” </w:t>
      </w:r>
    </w:p>
    <w:p w14:paraId="4B6E07D8" w14:textId="77777777" w:rsidR="00D50D34" w:rsidRPr="00A23C51" w:rsidRDefault="00D50D34" w:rsidP="00D50D34">
      <w:pPr>
        <w:jc w:val="both"/>
        <w:rPr>
          <w:rFonts w:cstheme="minorHAnsi"/>
        </w:rPr>
      </w:pPr>
      <w:r w:rsidRPr="00A23C51">
        <w:rPr>
          <w:rFonts w:cstheme="minorHAnsi"/>
        </w:rPr>
        <w:t>Per quanto riguarda il 2021, sembra rilevante citare il seguente passo della Relazione del Presidente f.f. della Sezione giurisdizionale– Udienza d’inaugurazione dell’Anno Giudiziario 2021- ove si dice che: “</w:t>
      </w:r>
      <w:r w:rsidRPr="00A23C51">
        <w:rPr>
          <w:rFonts w:cstheme="minorHAnsi"/>
          <w:i/>
          <w:iCs/>
        </w:rPr>
        <w:t xml:space="preserve">Occorre precisare che nel 2020 si è mantenuto costante l’incremento del contenzioso in materia di responsabilità amministrativa registrato nell’anno precedente, confermando una tendenza ormai invariata, con un consistente aumento dei danni contestati. Come lo scorso anno, occorre tuttavia precisare che il numero dei giudizi di responsabilità trattati non è, di per sé, emblematico di alcun deterioramento nell’azione delle Amministrazioni che operano nell’ambito della Provincia Autonoma di Trento, ma solo effetto di un </w:t>
      </w:r>
      <w:r w:rsidRPr="00A23C51">
        <w:rPr>
          <w:rFonts w:cstheme="minorHAnsi"/>
          <w:i/>
          <w:iCs/>
        </w:rPr>
        <w:lastRenderedPageBreak/>
        <w:t>incremento dell’attività della Procura Regionale. Le importanti decisioni adottate, nei vari ambiti della pubblica amministrazione, hanno impegnato il Collegio nell’esame di interessanti ed attuali questioni ed argomenti di spiccato interesse giuridico, tanto processuale quanto sostanziale”</w:t>
      </w:r>
      <w:r w:rsidRPr="00A23C51">
        <w:rPr>
          <w:rFonts w:cstheme="minorHAnsi"/>
        </w:rPr>
        <w:t>.</w:t>
      </w:r>
    </w:p>
    <w:p w14:paraId="572FC734" w14:textId="77777777" w:rsidR="00D50D34" w:rsidRPr="00A23C51" w:rsidRDefault="00D50D34" w:rsidP="00D50D34">
      <w:pPr>
        <w:jc w:val="both"/>
        <w:rPr>
          <w:rFonts w:cstheme="minorHAnsi"/>
        </w:rPr>
      </w:pPr>
      <w:r w:rsidRPr="00A23C51">
        <w:rPr>
          <w:rFonts w:cstheme="minorHAnsi"/>
        </w:rPr>
        <w:t>A sua volta, il Procuratore regionale della Corte dei Conti, nella relazione d’inaugurazione dell’anno giudiziario 2021, pur parlando di “</w:t>
      </w:r>
      <w:r w:rsidRPr="00A23C51">
        <w:rPr>
          <w:rFonts w:cstheme="minorHAnsi"/>
          <w:i/>
          <w:iCs/>
        </w:rPr>
        <w:t>un contesto territoriale trentino caratterizzato, in radice, da princìpi di onestà ed efficacia</w:t>
      </w:r>
      <w:r w:rsidRPr="00A23C51">
        <w:rPr>
          <w:rFonts w:cstheme="minorHAnsi"/>
        </w:rPr>
        <w:t>”, ha evidenziato delle criticità in materia di incarichi esterni e di violazione delle regole di evidenza pubblica, materie queste cui il Procuratore ha dedicato la propria attenzione sottolineandone le criticità con espressioni che non possono lasciare indifferenti, evidenziando anche il danno all’immagine che l’infedele prestazione del servizio arreca alla Pubblica amministrazione.</w:t>
      </w:r>
    </w:p>
    <w:p w14:paraId="5EF9F8A5" w14:textId="7B224DE3" w:rsidR="00D50D34" w:rsidRPr="00A23C51" w:rsidRDefault="00D50D34" w:rsidP="00D50D34">
      <w:pPr>
        <w:jc w:val="both"/>
        <w:rPr>
          <w:rFonts w:cstheme="minorHAnsi"/>
        </w:rPr>
      </w:pPr>
      <w:r w:rsidRPr="00A23C51">
        <w:rPr>
          <w:rFonts w:cstheme="minorHAnsi"/>
        </w:rPr>
        <w:t>Il Procuratore ha parlato di dispregio del pubblico decoro, di risorse distribuite in base al puro e semplice arbitrio, talvolta in un contesto di personale prepotenza, della conseguente necessità di sanzionare odiosi favoritismi effettuati non di rado a vantaggio di parenti, amici e sodali. Nel settore contrattuale ha sottolineato che “</w:t>
      </w:r>
      <w:r w:rsidRPr="00A23C51">
        <w:rPr>
          <w:rFonts w:cstheme="minorHAnsi"/>
          <w:i/>
          <w:iCs/>
        </w:rPr>
        <w:t>continuano purtroppo a registrarsi casi in cui vari soggetti (Amministratori locali, ma anche soggetti in rapporto di convenzione con la P.A.T., in particolare nel settore della pubblica istruzione), in dispregio al pubblico decoro prima ancora che a elementari princìpi ordinamentali legati all’incompatibilità e al conflitto di interessi, hanno proceduto a diretti affidamenti contrattuali a sé stessi o a propri congiunti</w:t>
      </w:r>
      <w:r w:rsidRPr="00A23C51">
        <w:rPr>
          <w:rFonts w:cstheme="minorHAnsi"/>
        </w:rPr>
        <w:t>”.</w:t>
      </w:r>
    </w:p>
    <w:p w14:paraId="36C4BB37" w14:textId="77777777" w:rsidR="00D50D34" w:rsidRPr="00A23C51" w:rsidRDefault="00D50D34" w:rsidP="00D50D34">
      <w:pPr>
        <w:jc w:val="both"/>
        <w:rPr>
          <w:rFonts w:cstheme="minorHAnsi"/>
          <w:i/>
          <w:iCs/>
        </w:rPr>
      </w:pPr>
      <w:r w:rsidRPr="00A23C51">
        <w:rPr>
          <w:rFonts w:cstheme="minorHAnsi"/>
        </w:rPr>
        <w:t>Sul tema degli affidamenti, precisa il Procuratore, che si “</w:t>
      </w:r>
      <w:r w:rsidRPr="00A23C51">
        <w:rPr>
          <w:rFonts w:cstheme="minorHAnsi"/>
          <w:i/>
          <w:iCs/>
        </w:rPr>
        <w:t>intende proseguire nella verifica degli affidamenti contrattuali diretti in linea con la specifica esigenza di tutelare le finanze pubbliche, nel rispetto dell’oculatezza della spesa e di sanzionare odiosi favoritismi, non di rado a vantaggio di parenti, amici e sodali dei vertici della medesima Amministrazione interessata. La scrupolosa osservanza delle regole del codice dei contratti pubblici e delle procedure di evidenza pubblica non solo implica la protezione delle risorse del Pubblico Erario, ma la difesa di tutti i cittadini (in particolare, in questo contesto, di Aziende che vengono illegittimamente estromesse dal confronto concorrenziale per effetto di condotte colpevoli di funzionari e Amministratori). A ben vedere, la difesa dei princìpi della concorrenza in materia di contrattualistica pubblica corrisponde (oltre che a fondamentali canoni) a precisi termini etici: tutti devono essere posti in grado di lavorare e produrre, non soltanto coloro che possono godere di illegittimi favoritismi”.</w:t>
      </w:r>
    </w:p>
    <w:p w14:paraId="344F0EB0" w14:textId="77777777" w:rsidR="00D50D34" w:rsidRPr="00A23C51" w:rsidRDefault="00D50D34" w:rsidP="00D50D34">
      <w:pPr>
        <w:rPr>
          <w:rFonts w:cstheme="minorHAnsi"/>
        </w:rPr>
      </w:pPr>
      <w:r w:rsidRPr="00A23C51">
        <w:rPr>
          <w:rFonts w:cstheme="minorHAnsi"/>
        </w:rPr>
        <w:t>I testi integrali degli interventi sono pubblicati al seguente link:</w:t>
      </w:r>
    </w:p>
    <w:p w14:paraId="57F34A61" w14:textId="77777777" w:rsidR="00D50D34" w:rsidRPr="00A23C51" w:rsidRDefault="00CF0CC0" w:rsidP="00D50D34">
      <w:pPr>
        <w:rPr>
          <w:rStyle w:val="Collegamentoipertestuale"/>
          <w:rFonts w:cstheme="minorHAnsi"/>
        </w:rPr>
      </w:pPr>
      <w:hyperlink r:id="rId10" w:history="1">
        <w:r w:rsidR="00D50D34" w:rsidRPr="00A23C51">
          <w:rPr>
            <w:rStyle w:val="Collegamentoipertestuale"/>
            <w:rFonts w:cstheme="minorHAnsi"/>
          </w:rPr>
          <w:t>https://www.corteconti.it/HOME/Documenti/DettaglioDocumenti?Id=38472062-f296-474b-b88b-e08d51948cdd</w:t>
        </w:r>
      </w:hyperlink>
    </w:p>
    <w:p w14:paraId="1089432D" w14:textId="7125638D" w:rsidR="00D50D34" w:rsidRDefault="00CF0CC0" w:rsidP="003A4AFE">
      <w:pPr>
        <w:rPr>
          <w:rStyle w:val="Collegamentoipertestuale"/>
          <w:rFonts w:cstheme="minorHAnsi"/>
        </w:rPr>
      </w:pPr>
      <w:hyperlink r:id="rId11" w:history="1">
        <w:r w:rsidR="003A4AFE" w:rsidRPr="00C01598">
          <w:rPr>
            <w:rStyle w:val="Collegamentoipertestuale"/>
            <w:rFonts w:cstheme="minorHAnsi"/>
          </w:rPr>
          <w:t>https://www.corteconti.it/HOME/Documenti/DettaglioDocumenti?Id=dbe3066c-699f-491b-9e15-2df7bd613c73</w:t>
        </w:r>
      </w:hyperlink>
    </w:p>
    <w:p w14:paraId="176FB6B6" w14:textId="77777777" w:rsidR="003A4AFE" w:rsidRPr="003A4AFE" w:rsidRDefault="003A4AFE" w:rsidP="003A4AFE">
      <w:pPr>
        <w:rPr>
          <w:rFonts w:cstheme="minorHAnsi"/>
          <w:color w:val="0000FF"/>
          <w:u w:val="single"/>
        </w:rPr>
      </w:pPr>
    </w:p>
    <w:p w14:paraId="7F54525D" w14:textId="77777777" w:rsidR="00D50D34" w:rsidRPr="00A23C51" w:rsidRDefault="00D50D34" w:rsidP="00D50D34">
      <w:pPr>
        <w:pStyle w:val="Paragrafoelenco"/>
        <w:numPr>
          <w:ilvl w:val="0"/>
          <w:numId w:val="12"/>
        </w:numPr>
        <w:spacing w:after="0" w:line="240" w:lineRule="auto"/>
        <w:jc w:val="both"/>
        <w:rPr>
          <w:rFonts w:cstheme="minorHAnsi"/>
          <w:u w:val="single"/>
        </w:rPr>
      </w:pPr>
      <w:r w:rsidRPr="00A23C51">
        <w:rPr>
          <w:rFonts w:cstheme="minorHAnsi"/>
          <w:u w:val="single"/>
        </w:rPr>
        <w:t>Consultazione stampa locale</w:t>
      </w:r>
    </w:p>
    <w:p w14:paraId="60E8AB99" w14:textId="77777777" w:rsidR="00D50D34" w:rsidRPr="00A23C51" w:rsidRDefault="00D50D34" w:rsidP="00D50D34">
      <w:pPr>
        <w:jc w:val="both"/>
        <w:rPr>
          <w:rFonts w:cstheme="minorHAnsi"/>
        </w:rPr>
      </w:pPr>
      <w:r w:rsidRPr="00A23C51">
        <w:rPr>
          <w:rFonts w:cstheme="minorHAnsi"/>
        </w:rPr>
        <w:t>Nell’analisi del contesto esterno appare rilevante anche l’analisi della rassegna stampa dei quotidiani locali in ordine a episodi di “</w:t>
      </w:r>
      <w:r w:rsidRPr="00A23C51">
        <w:rPr>
          <w:rFonts w:cstheme="minorHAnsi"/>
          <w:i/>
          <w:iCs/>
        </w:rPr>
        <w:t>malamministrazione</w:t>
      </w:r>
      <w:r w:rsidRPr="00A23C51">
        <w:rPr>
          <w:rFonts w:cstheme="minorHAnsi"/>
        </w:rPr>
        <w:t xml:space="preserve">” o ancor più di comportamenti penalmente rilevanti che possano interferire con lo svolgimento della funzione pubblica nel territorio provinciale. In continuità con le osservazioni emerse dalla lettura delle relazione di apertura dell’anno giudiziario 2020, infatti, numerosi sono stati nel corso del 2020 gli articoli che hanno riportato eventi corruttivi e di infiltrazione delle organizzazioni collegati all'indagine svolta dai Carabinieri del ROS nella Valle di Cembra in relazione all’attività estrattiva del porfido, che ha portato all’arresto di amministratori comunali e imprenditori, per numerosi reati tra i quali quelli di associazione mafiosa, scambio elettorale politico mafioso, estorsione, tentata estorsione. </w:t>
      </w:r>
    </w:p>
    <w:p w14:paraId="590C097C" w14:textId="77777777" w:rsidR="00D50D34" w:rsidRPr="00A23C51" w:rsidRDefault="00D50D34" w:rsidP="00D50D34">
      <w:pPr>
        <w:jc w:val="both"/>
        <w:rPr>
          <w:rFonts w:cstheme="minorHAnsi"/>
        </w:rPr>
      </w:pPr>
      <w:r w:rsidRPr="00A23C51">
        <w:rPr>
          <w:rFonts w:cstheme="minorHAnsi"/>
        </w:rPr>
        <w:t xml:space="preserve">Dal mese di ottobre a dicembre 2020, si sono susseguiti nelle principali testate trentine (L’Adige, Il Trentino, Il Corriere del Trentino) numerosi interventi che hanno evidenziato da un lato il radicamento della criminalità organizzata facente riferimento alla “’ndrangheta” nell’ambito di un settore economico, quello delle cave, da </w:t>
      </w:r>
      <w:r w:rsidRPr="00A23C51">
        <w:rPr>
          <w:rFonts w:cstheme="minorHAnsi"/>
        </w:rPr>
        <w:lastRenderedPageBreak/>
        <w:t>sempre connotato da elevata redditività, con un progressivo e graduale coinvolgimento nel tempo non solo della compagine imprenditoriale ma altresì di quella pubblica, avendo trovato substrato anche negli amministratori di alcuni comuni della Val di Cembra oltre che in referenti nazionali. Così all’indomani degli arresti anche il Procuratore Capo di Trento, coordinatore degli interventi di Carabinieri del ROS e della Guardia di Finanzia, che attesta che la presenza della criminalità organizzata in Trentino è consolidata e coinvolge settori di rilevanza economica come il porfido, come anche il settore del turismo.</w:t>
      </w:r>
    </w:p>
    <w:p w14:paraId="3DD4D262" w14:textId="77777777" w:rsidR="00D50D34" w:rsidRPr="00A23C51" w:rsidRDefault="00D50D34" w:rsidP="00D50D34">
      <w:pPr>
        <w:jc w:val="both"/>
        <w:rPr>
          <w:rFonts w:cstheme="minorHAnsi"/>
        </w:rPr>
      </w:pPr>
      <w:r w:rsidRPr="00A23C51">
        <w:rPr>
          <w:rFonts w:cstheme="minorHAnsi"/>
        </w:rPr>
        <w:t>Ma non solo. L’intervento del Comandante regionale della Guardia di Finanza ha altresì evidenziato come l’emergenza COVID, e le correlate normative speciali, favoriscano la criminalità organizzata consentendole di sviluppare i propri contatti e affari, come rilevato dalle numerose segnalazioni pervenute alla Cabina di regia istituita appunto presso la GdF, ove a fronte delle imprese in difficoltà per l’emergenza, a contrario le organizzazioni criminali dispongono di ingenti risorse tali da falsare l’economia, con necessità di massima vigilanza da parte delle forze dell’ordine.</w:t>
      </w:r>
    </w:p>
    <w:p w14:paraId="2897C881" w14:textId="77777777" w:rsidR="00D50D34" w:rsidRPr="00A23C51" w:rsidRDefault="00D50D34" w:rsidP="00D50D34">
      <w:pPr>
        <w:jc w:val="both"/>
        <w:rPr>
          <w:rFonts w:cstheme="minorHAnsi"/>
        </w:rPr>
      </w:pPr>
      <w:r w:rsidRPr="00A23C51">
        <w:rPr>
          <w:rFonts w:cstheme="minorHAnsi"/>
        </w:rPr>
        <w:t>Sempre sulla costante attenzione della stampa a reati collegati con la “</w:t>
      </w:r>
      <w:r w:rsidRPr="00A23C51">
        <w:rPr>
          <w:rFonts w:cstheme="minorHAnsi"/>
          <w:i/>
          <w:iCs/>
        </w:rPr>
        <w:t>res publica</w:t>
      </w:r>
      <w:r w:rsidRPr="00A23C51">
        <w:rPr>
          <w:rFonts w:cstheme="minorHAnsi"/>
        </w:rPr>
        <w:t>” si richiamano le sentenze di appello sull’indagine “Trento Rise” in ordine a illegittimi affidamenti di consulenza da parte della società pubblica, con riconoscimento da parte della Sezione d’Appello della Corte dei Conti del danno erariale in capo ai vertici della società.</w:t>
      </w:r>
    </w:p>
    <w:p w14:paraId="26760F93" w14:textId="048CC4F3" w:rsidR="00976AD7" w:rsidRDefault="00976AD7" w:rsidP="00537BC7">
      <w:pPr>
        <w:suppressAutoHyphens/>
        <w:spacing w:before="100" w:after="0" w:line="100" w:lineRule="atLeast"/>
        <w:jc w:val="both"/>
        <w:rPr>
          <w:rFonts w:ascii="Roboto" w:hAnsi="Roboto" w:cstheme="minorHAnsi"/>
          <w:sz w:val="20"/>
          <w:szCs w:val="20"/>
        </w:rPr>
      </w:pPr>
    </w:p>
    <w:p w14:paraId="276C404C" w14:textId="77777777" w:rsidR="00242A41" w:rsidRDefault="00242A41" w:rsidP="00537BC7">
      <w:pPr>
        <w:suppressAutoHyphens/>
        <w:spacing w:before="100" w:after="0" w:line="100" w:lineRule="atLeast"/>
        <w:jc w:val="both"/>
        <w:rPr>
          <w:rFonts w:ascii="Roboto" w:hAnsi="Roboto" w:cstheme="minorHAnsi"/>
          <w:sz w:val="20"/>
          <w:szCs w:val="20"/>
        </w:rPr>
      </w:pPr>
    </w:p>
    <w:p w14:paraId="781B64AD" w14:textId="1AB17F87" w:rsidR="00FB0481" w:rsidRPr="00D1586A" w:rsidRDefault="00FB0481" w:rsidP="00537BC7">
      <w:pPr>
        <w:suppressAutoHyphens/>
        <w:spacing w:before="100" w:after="0" w:line="100" w:lineRule="atLeast"/>
        <w:jc w:val="both"/>
        <w:rPr>
          <w:rFonts w:eastAsia="Times New Roman" w:cstheme="minorHAnsi"/>
          <w:b/>
          <w:bCs/>
          <w:lang w:eastAsia="zh-CN"/>
        </w:rPr>
      </w:pPr>
      <w:r w:rsidRPr="00D1586A">
        <w:rPr>
          <w:rFonts w:eastAsia="Times New Roman" w:cstheme="minorHAnsi"/>
          <w:b/>
          <w:bCs/>
          <w:lang w:eastAsia="zh-CN"/>
        </w:rPr>
        <w:t>QUADRO DI RIFERIMENTO</w:t>
      </w:r>
    </w:p>
    <w:p w14:paraId="6E2C01A8" w14:textId="77777777" w:rsidR="00E726F4" w:rsidRPr="00D1586A" w:rsidRDefault="00E726F4" w:rsidP="00537BC7">
      <w:pPr>
        <w:suppressAutoHyphens/>
        <w:spacing w:before="100" w:after="0" w:line="100" w:lineRule="atLeast"/>
        <w:jc w:val="both"/>
        <w:rPr>
          <w:rFonts w:eastAsia="Times New Roman" w:cstheme="minorHAnsi"/>
          <w:b/>
          <w:bCs/>
          <w:lang w:eastAsia="zh-CN"/>
        </w:rPr>
      </w:pPr>
    </w:p>
    <w:p w14:paraId="5FBC783B" w14:textId="032D2088" w:rsidR="00FB0481" w:rsidRPr="00D1586A" w:rsidRDefault="00E726F4" w:rsidP="00537BC7">
      <w:pPr>
        <w:suppressAutoHyphens/>
        <w:spacing w:before="100" w:after="0" w:line="100" w:lineRule="atLeast"/>
        <w:jc w:val="both"/>
        <w:rPr>
          <w:rFonts w:cstheme="minorHAnsi"/>
        </w:rPr>
      </w:pPr>
      <w:r w:rsidRPr="00D1586A">
        <w:rPr>
          <w:rFonts w:cstheme="minorHAnsi"/>
        </w:rPr>
        <w:t>La disciplina di riferimento</w:t>
      </w:r>
      <w:r w:rsidR="007E46C1">
        <w:rPr>
          <w:rFonts w:cstheme="minorHAnsi"/>
        </w:rPr>
        <w:t>, come si vedrà di agevole consultazione ed apprendimento da parte di qualunque cittadino anche non dotato di strumenti formativi specialistici (scopo ultimo della trasparenza amministrativa di cui stiamo trattando)</w:t>
      </w:r>
      <w:r w:rsidRPr="00D1586A">
        <w:rPr>
          <w:rFonts w:cstheme="minorHAnsi"/>
        </w:rPr>
        <w:t xml:space="preserve"> è la seguente:</w:t>
      </w:r>
    </w:p>
    <w:p w14:paraId="181B3BEE"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con legge 6 novembre 2012, n. 190, pubblicata sulla Gazzetta Ufficiale 13 novembre 2012, n. 265, il legislatore ha varato le “Disposizioni per la prevenzione e la repressione della corruzione e dell'illegalità nella pubblica amministrazione”.</w:t>
      </w:r>
    </w:p>
    <w:p w14:paraId="09A561AA"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con deliberazione n. 72 del 11 settembre 2013 la CIVIT (ora “Autorità nazionale AntiCorruzione e per la valutazione e della trasparenza delle amministrazioni pubbliche”, c.d. ANAC) ha approvato il “Piano Nazionale Anticorruzione” (P.N.A.), con l’indicazione delle attività e misure da intraprendere nell’azione amministrativa delle amministrazioni pubbliche;</w:t>
      </w:r>
    </w:p>
    <w:p w14:paraId="4BA48EB6"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«Piano Nazionale Anticorruzione - Aggiornamento 2015» (Determina n. 12 del 28 ottobre 2015)</w:t>
      </w:r>
    </w:p>
    <w:p w14:paraId="1AE91DCC"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«Il Piano Nazionale Anticorruzione 2016» (Delibera n. 831 del 3 agosto 2016);</w:t>
      </w:r>
    </w:p>
    <w:p w14:paraId="7DA5EAD8"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«Aggiornamento 2017 al Piano Nazionale Anticorruzione» (Delibera n. 1208 del 22 novembre 2017);</w:t>
      </w:r>
    </w:p>
    <w:p w14:paraId="1B17C73E"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«Aggiornamento 2019 al Piano Nazionale Anticorruzione» (Delibera n. 1074 del 21 novembre 2018);</w:t>
      </w:r>
    </w:p>
    <w:p w14:paraId="38C6A16A"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«Piano Nazionale Anticorruzione 2019» (Delibera n. 1064 del 13 novembre 2019);</w:t>
      </w:r>
    </w:p>
    <w:p w14:paraId="7ED5CC3C"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Determinazione n. 1309 del 28/12/2016 - FOIA - «Linee guida recanti indicazioni operative ai fini della definizione delle esclusioni e dei limiti all'accesso civico di cui all’art. 5 co. 2 del d.lgs. 33/2013. Art. 5- bis, comma 6, del d.lgs. n. 33 del 14/03/2013 recante «Riordino della disciplina riguardante il diritto di accesso civico e gli obblighi di pubblicità, trasparenza e diffusione di informazioni da parte delle pubbliche amministrazioni»»;</w:t>
      </w:r>
    </w:p>
    <w:p w14:paraId="432E4B31"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Determinazione n. 1310 del 28/12/2016 - Trasparenza «Linee Guida. Prime linee guida recanti indicazioni sull’attuazione degli obblighi di pubblicità, trasparenza e diffusione di informazioni contenute nel d.lgs. 33/2013 come modificato dal d.lgs. 97/2016»;</w:t>
      </w:r>
    </w:p>
    <w:p w14:paraId="09D3BA53"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lastRenderedPageBreak/>
        <w:t>- Determinazione n. 241 del 08/03/2017 «Linee guida recanti indicazioni sull’attuazione dell’art. 14 del d.lgs. 33/2013 «Obblighi di pubblicazione concernenti i titolari di incarichi politici, di amministrazione, di direzione o di governo e i titolari di incarichi dirigenziali» come modificato dall’art. 13 del d.lgs. 97/2016»;</w:t>
      </w:r>
    </w:p>
    <w:p w14:paraId="6E54A396"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Circolare n. 2 del 30 maggio 2017 «Attuazione delle norme sull’accesso civico generalizzato (c.d. FOIA)»;</w:t>
      </w:r>
    </w:p>
    <w:p w14:paraId="5DD34FE7"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Legge 30 novembre 2017, n. 179 «Disposizioni per la tutela degli autori di segnalazioni di reati o irregolarità di cui siano venuti a conoscenza nell’ambito di un rapporto di lavoro pubblico o privato»;</w:t>
      </w:r>
    </w:p>
    <w:p w14:paraId="76B4D232"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D.Lgs. 27 ottobre 2009, n. 150 «Attuazione della legge 4 marzo 2009, n. 15, in materia di ottimizzazione della produttività del lavoro pubblico e di efficienza e trasparenza delle pubbliche amministrazioni»;</w:t>
      </w:r>
    </w:p>
    <w:p w14:paraId="0A7FBC9F"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D.Lgs. 14 marzo 2013, n. 33 «Riordino della disciplina riguardante gli obblighi di pubblicità, trasparenza e diffusione di informazioni da parte delle pubbliche amministrazioni»;</w:t>
      </w:r>
    </w:p>
    <w:p w14:paraId="37B1CB7E" w14:textId="77777777" w:rsidR="00C500BC" w:rsidRPr="00D1586A" w:rsidRDefault="00C500BC" w:rsidP="00537BC7">
      <w:pPr>
        <w:suppressAutoHyphens/>
        <w:spacing w:before="100" w:after="0" w:line="100" w:lineRule="atLeast"/>
        <w:jc w:val="both"/>
        <w:rPr>
          <w:rFonts w:cstheme="minorHAnsi"/>
        </w:rPr>
      </w:pPr>
      <w:r w:rsidRPr="00D1586A">
        <w:rPr>
          <w:rFonts w:cstheme="minorHAnsi"/>
        </w:rPr>
        <w:t>- D.Lgs. 8 aprile 2013, n. 39 «Disposizioni in materia di inconferibilità e incompatibilità di incarichi presso le pubbliche amministrazioni e presso gli enti privati in controllo pubblico, a norma dell’articolo 1, commi 49 e 50, della legge 6 novembre 2012, n. 190»;</w:t>
      </w:r>
    </w:p>
    <w:p w14:paraId="5B7F3910" w14:textId="411FE493" w:rsidR="00E726F4" w:rsidRPr="00D1586A" w:rsidRDefault="00C500BC" w:rsidP="00537BC7">
      <w:pPr>
        <w:suppressAutoHyphens/>
        <w:spacing w:before="100" w:after="0" w:line="100" w:lineRule="atLeast"/>
        <w:jc w:val="both"/>
        <w:rPr>
          <w:rFonts w:cstheme="minorHAnsi"/>
        </w:rPr>
      </w:pPr>
      <w:r w:rsidRPr="00D1586A">
        <w:rPr>
          <w:rFonts w:cstheme="minorHAnsi"/>
        </w:rPr>
        <w:t>- D.P.R. 16 aprile 2013, n. 62 «Regolamento recante codice di comportamento dei dipendenti pubblici, a norma dell'articolo 54 del decreto legislativo 30 marzo 2001, n. 165»;</w:t>
      </w:r>
    </w:p>
    <w:p w14:paraId="23C45805" w14:textId="77777777" w:rsidR="00CC4EA8" w:rsidRPr="00D1586A" w:rsidRDefault="00CC4EA8" w:rsidP="00537BC7">
      <w:pPr>
        <w:suppressAutoHyphens/>
        <w:spacing w:before="100" w:after="0" w:line="100" w:lineRule="atLeast"/>
        <w:jc w:val="both"/>
        <w:rPr>
          <w:rFonts w:cstheme="minorHAnsi"/>
        </w:rPr>
      </w:pPr>
      <w:r w:rsidRPr="00D1586A">
        <w:rPr>
          <w:rFonts w:cstheme="minorHAnsi"/>
        </w:rPr>
        <w:t>- con provvedimento della Presidente della Comunità n. 138 del 17 ottobre 2016, è stato approvato il “Codice di comportamento dei dipendenti della Magnifica Comunità degli Altipiani Cimbri”, in esecuzione al D.P.R. 16 aprile 2013, n. 62 “Regolamento recante codice di comportamento dei dipendenti pubblici, a norma dell'articolo 54 del decreto legislativo 30 marzo 2001, n. 165”;</w:t>
      </w:r>
    </w:p>
    <w:p w14:paraId="6F4376D7" w14:textId="65CE8B86" w:rsidR="00C52CAD" w:rsidRPr="00D1586A" w:rsidRDefault="00CC4EA8" w:rsidP="00537BC7">
      <w:pPr>
        <w:suppressAutoHyphens/>
        <w:spacing w:before="100" w:after="0" w:line="100" w:lineRule="atLeast"/>
        <w:jc w:val="both"/>
        <w:rPr>
          <w:rFonts w:cstheme="minorHAnsi"/>
        </w:rPr>
      </w:pPr>
      <w:r w:rsidRPr="00D1586A">
        <w:rPr>
          <w:rFonts w:cstheme="minorHAnsi"/>
        </w:rPr>
        <w:t xml:space="preserve">- con deliberazione </w:t>
      </w:r>
      <w:r w:rsidR="002371AB" w:rsidRPr="00D1586A">
        <w:rPr>
          <w:rFonts w:cstheme="minorHAnsi"/>
        </w:rPr>
        <w:t>di</w:t>
      </w:r>
      <w:r w:rsidRPr="00D1586A">
        <w:rPr>
          <w:rFonts w:cstheme="minorHAnsi"/>
        </w:rPr>
        <w:t xml:space="preserve"> Giunta</w:t>
      </w:r>
      <w:r w:rsidR="002371AB" w:rsidRPr="00D1586A">
        <w:rPr>
          <w:rFonts w:cstheme="minorHAnsi"/>
        </w:rPr>
        <w:t xml:space="preserve"> della Comunità</w:t>
      </w:r>
      <w:r w:rsidRPr="00D1586A">
        <w:rPr>
          <w:rFonts w:cstheme="minorHAnsi"/>
        </w:rPr>
        <w:t xml:space="preserve"> n. </w:t>
      </w:r>
      <w:r w:rsidR="002371AB" w:rsidRPr="00D1586A">
        <w:rPr>
          <w:rFonts w:cstheme="minorHAnsi"/>
        </w:rPr>
        <w:t>4 del 14 gennaio 2014,</w:t>
      </w:r>
      <w:r w:rsidRPr="00D1586A">
        <w:rPr>
          <w:rFonts w:cstheme="minorHAnsi"/>
        </w:rPr>
        <w:t xml:space="preserve"> è </w:t>
      </w:r>
      <w:r w:rsidR="002371AB" w:rsidRPr="00D1586A">
        <w:rPr>
          <w:rFonts w:cstheme="minorHAnsi"/>
        </w:rPr>
        <w:t>avvenuta la prima adozione del Piano di prevenzione della corruzione per la Magnifica Comunità degli Altipiani Cimbri</w:t>
      </w:r>
      <w:r w:rsidR="000252DC" w:rsidRPr="00D1586A">
        <w:rPr>
          <w:rFonts w:cstheme="minorHAnsi"/>
        </w:rPr>
        <w:t>, con efficacia per ciascuno degli anni 2014, 2015 e 2016</w:t>
      </w:r>
      <w:r w:rsidR="002371AB" w:rsidRPr="00D1586A">
        <w:rPr>
          <w:rFonts w:cstheme="minorHAnsi"/>
        </w:rPr>
        <w:t>;</w:t>
      </w:r>
    </w:p>
    <w:p w14:paraId="4DF8897A" w14:textId="7A078EA1" w:rsidR="00611672" w:rsidRPr="00D1586A" w:rsidRDefault="00611672" w:rsidP="00537BC7">
      <w:pPr>
        <w:suppressAutoHyphens/>
        <w:spacing w:before="100" w:after="0" w:line="100" w:lineRule="atLeast"/>
        <w:jc w:val="both"/>
        <w:rPr>
          <w:rFonts w:cstheme="minorHAnsi"/>
        </w:rPr>
      </w:pPr>
      <w:r w:rsidRPr="00D1586A">
        <w:rPr>
          <w:rFonts w:cstheme="minorHAnsi"/>
        </w:rPr>
        <w:t>- con provvedimento della Presidente n. 4 del 26 gennaio 2016, è stato aggiornato il Piano di prevenzione della corruzione per la Magnifica Comunità degli Altipiani Cimbri – triennio 2016-2018;</w:t>
      </w:r>
    </w:p>
    <w:p w14:paraId="37922C6F" w14:textId="46433503" w:rsidR="002371AB" w:rsidRPr="00D1586A" w:rsidRDefault="002371AB" w:rsidP="00537BC7">
      <w:pPr>
        <w:suppressAutoHyphens/>
        <w:spacing w:before="100" w:after="0" w:line="100" w:lineRule="atLeast"/>
        <w:jc w:val="both"/>
        <w:rPr>
          <w:rFonts w:cstheme="minorHAnsi"/>
        </w:rPr>
      </w:pPr>
      <w:r w:rsidRPr="00D1586A">
        <w:rPr>
          <w:rFonts w:cstheme="minorHAnsi"/>
        </w:rPr>
        <w:t>- con provvedimento della Presidente n. 5 del 31 gennaio 2017 è stato approvato il Piano Triennale 2017-2019;</w:t>
      </w:r>
    </w:p>
    <w:p w14:paraId="46424AE1" w14:textId="7C9F1404" w:rsidR="002371AB" w:rsidRPr="00D1586A" w:rsidRDefault="002371AB" w:rsidP="00537BC7">
      <w:pPr>
        <w:suppressAutoHyphens/>
        <w:spacing w:before="100" w:after="0" w:line="100" w:lineRule="atLeast"/>
        <w:jc w:val="both"/>
        <w:rPr>
          <w:rFonts w:cstheme="minorHAnsi"/>
        </w:rPr>
      </w:pPr>
      <w:r w:rsidRPr="00D1586A">
        <w:rPr>
          <w:rFonts w:cstheme="minorHAnsi"/>
        </w:rPr>
        <w:t>-  con provvedimento della Presidente n. 16 del 31 gennaio 2018 è stato approvato il Piano Triennale 2018-2020;</w:t>
      </w:r>
    </w:p>
    <w:p w14:paraId="7DCFC85F" w14:textId="7D9D3AB2" w:rsidR="002371AB" w:rsidRPr="00D1586A" w:rsidRDefault="002371AB" w:rsidP="00537BC7">
      <w:pPr>
        <w:suppressAutoHyphens/>
        <w:spacing w:before="100" w:after="0" w:line="100" w:lineRule="atLeast"/>
        <w:jc w:val="both"/>
        <w:rPr>
          <w:rFonts w:cstheme="minorHAnsi"/>
        </w:rPr>
      </w:pPr>
      <w:r w:rsidRPr="00D1586A">
        <w:rPr>
          <w:rFonts w:cstheme="minorHAnsi"/>
        </w:rPr>
        <w:t>- con provvedimento della Presidente n. 3 del 31 gennaio 2019 è stato confermato il Piano triennale per la prevenzione della corruzione e per la trasparenza triennio 2018-2020;</w:t>
      </w:r>
    </w:p>
    <w:p w14:paraId="13E1C743" w14:textId="5B10A667" w:rsidR="002371AB" w:rsidRPr="00D1586A" w:rsidRDefault="002371AB" w:rsidP="00537BC7">
      <w:pPr>
        <w:suppressAutoHyphens/>
        <w:spacing w:before="100" w:after="0" w:line="100" w:lineRule="atLeast"/>
        <w:jc w:val="both"/>
        <w:rPr>
          <w:rFonts w:cstheme="minorHAnsi"/>
        </w:rPr>
      </w:pPr>
      <w:r w:rsidRPr="00D1586A">
        <w:rPr>
          <w:rFonts w:cstheme="minorHAnsi"/>
        </w:rPr>
        <w:t>- con provvedimento della Presidente n. 7 del 29 gennaio 2020 è stato confermato</w:t>
      </w:r>
      <w:r w:rsidR="006F165B" w:rsidRPr="00D1586A">
        <w:rPr>
          <w:rFonts w:cstheme="minorHAnsi"/>
        </w:rPr>
        <w:t xml:space="preserve"> i</w:t>
      </w:r>
      <w:r w:rsidRPr="00D1586A">
        <w:rPr>
          <w:rFonts w:cstheme="minorHAnsi"/>
        </w:rPr>
        <w:t>l Piano triennale per la prevenzione della corruzione e per la trasparenza triennio 2018</w:t>
      </w:r>
      <w:r w:rsidR="006F165B" w:rsidRPr="00D1586A">
        <w:rPr>
          <w:rFonts w:cstheme="minorHAnsi"/>
        </w:rPr>
        <w:t>-</w:t>
      </w:r>
      <w:r w:rsidRPr="00D1586A">
        <w:rPr>
          <w:rFonts w:cstheme="minorHAnsi"/>
        </w:rPr>
        <w:t>2020, quanto alle prevision</w:t>
      </w:r>
      <w:r w:rsidR="006F165B" w:rsidRPr="00D1586A">
        <w:rPr>
          <w:rFonts w:cstheme="minorHAnsi"/>
        </w:rPr>
        <w:t>i</w:t>
      </w:r>
      <w:r w:rsidRPr="00D1586A">
        <w:rPr>
          <w:rFonts w:cstheme="minorHAnsi"/>
        </w:rPr>
        <w:t xml:space="preserve"> relative all’esercizio 2020</w:t>
      </w:r>
      <w:r w:rsidR="006F165B" w:rsidRPr="00D1586A">
        <w:rPr>
          <w:rFonts w:cstheme="minorHAnsi"/>
        </w:rPr>
        <w:t>;</w:t>
      </w:r>
    </w:p>
    <w:p w14:paraId="28CC9C81" w14:textId="52CC32BD" w:rsidR="007F4400" w:rsidRPr="007E46C1" w:rsidRDefault="00CF0CC0" w:rsidP="00537BC7">
      <w:pPr>
        <w:suppressAutoHyphens/>
        <w:spacing w:before="100" w:after="0" w:line="100" w:lineRule="atLeast"/>
        <w:jc w:val="both"/>
        <w:rPr>
          <w:rFonts w:cstheme="minorHAnsi"/>
        </w:rPr>
      </w:pPr>
      <w:hyperlink r:id="rId12" w:anchor="2" w:history="1">
        <w:r w:rsidR="007F4400" w:rsidRPr="007E46C1">
          <w:t xml:space="preserve">Per un approfondimento sulla materia si </w:t>
        </w:r>
        <w:r w:rsidR="007E46C1" w:rsidRPr="007E46C1">
          <w:t>r</w:t>
        </w:r>
        <w:r w:rsidR="007F4400" w:rsidRPr="007E46C1">
          <w:t>invia alle FAQ dell’ANAC.</w:t>
        </w:r>
      </w:hyperlink>
      <w:r w:rsidR="007E46C1" w:rsidRPr="007E46C1">
        <w:t>, anch’esse alla portata di qualunque cittadino</w:t>
      </w:r>
      <w:r w:rsidR="007E46C1">
        <w:t>.</w:t>
      </w:r>
    </w:p>
    <w:p w14:paraId="3663C44F" w14:textId="247403F9" w:rsidR="007F4400" w:rsidRPr="007E46C1" w:rsidRDefault="007F4400" w:rsidP="00537BC7">
      <w:pPr>
        <w:suppressAutoHyphens/>
        <w:spacing w:before="100" w:after="0" w:line="100" w:lineRule="atLeast"/>
        <w:jc w:val="both"/>
        <w:rPr>
          <w:rFonts w:cstheme="minorHAnsi"/>
        </w:rPr>
      </w:pPr>
    </w:p>
    <w:p w14:paraId="2FC41630" w14:textId="77777777" w:rsidR="007F4400" w:rsidRPr="00D1586A" w:rsidRDefault="007F4400" w:rsidP="00537BC7">
      <w:pPr>
        <w:suppressAutoHyphens/>
        <w:spacing w:before="100" w:after="0" w:line="100" w:lineRule="atLeast"/>
        <w:jc w:val="both"/>
        <w:rPr>
          <w:rFonts w:cstheme="minorHAnsi"/>
          <w:b/>
          <w:bCs/>
        </w:rPr>
      </w:pPr>
      <w:r w:rsidRPr="00D1586A">
        <w:rPr>
          <w:rFonts w:cstheme="minorHAnsi"/>
          <w:b/>
          <w:bCs/>
        </w:rPr>
        <w:t>IL PROCESSO DI APPROVAZIONE</w:t>
      </w:r>
    </w:p>
    <w:p w14:paraId="4FDD8A49" w14:textId="27E7E567" w:rsidR="00C21DAC" w:rsidRPr="00D1586A" w:rsidRDefault="007F4400" w:rsidP="00537BC7">
      <w:pPr>
        <w:suppressAutoHyphens/>
        <w:spacing w:before="100" w:after="0" w:line="100" w:lineRule="atLeast"/>
        <w:jc w:val="both"/>
        <w:rPr>
          <w:rFonts w:cstheme="minorHAnsi"/>
        </w:rPr>
      </w:pPr>
      <w:r w:rsidRPr="00D1586A">
        <w:rPr>
          <w:rFonts w:cstheme="minorHAnsi"/>
        </w:rPr>
        <w:t>Sul punto si evidenzia che il processo di approvazione del presente PTPCT 2021</w:t>
      </w:r>
      <w:r w:rsidR="006C7CB1" w:rsidRPr="00D1586A">
        <w:rPr>
          <w:rFonts w:cstheme="minorHAnsi"/>
        </w:rPr>
        <w:t>-</w:t>
      </w:r>
      <w:r w:rsidRPr="00D1586A">
        <w:rPr>
          <w:rFonts w:cstheme="minorHAnsi"/>
        </w:rPr>
        <w:t>2023 ha coinvolto il personale (con la stesura dell’allegata mappatura secondo l’allegato 1 del PNA 2019) ed è stato oggetto di apposita partecipazione pubblica dalla quale non sono pervenute osservazioni e/o proposte.</w:t>
      </w:r>
    </w:p>
    <w:p w14:paraId="1F463ACD" w14:textId="5CD48368" w:rsidR="00C500BC" w:rsidRPr="00D1586A" w:rsidRDefault="007F4400" w:rsidP="00537BC7">
      <w:pPr>
        <w:suppressAutoHyphens/>
        <w:spacing w:before="100" w:after="0" w:line="100" w:lineRule="atLeast"/>
        <w:jc w:val="both"/>
        <w:rPr>
          <w:rFonts w:cstheme="minorHAnsi"/>
        </w:rPr>
      </w:pPr>
      <w:r w:rsidRPr="00D1586A">
        <w:rPr>
          <w:rFonts w:cstheme="minorHAnsi"/>
        </w:rPr>
        <w:t xml:space="preserve">Il processo partecipativo è stato </w:t>
      </w:r>
      <w:r w:rsidR="0009468E" w:rsidRPr="00D1586A">
        <w:rPr>
          <w:rFonts w:cstheme="minorHAnsi"/>
        </w:rPr>
        <w:t>importante</w:t>
      </w:r>
      <w:r w:rsidRPr="00D1586A">
        <w:rPr>
          <w:rFonts w:cstheme="minorHAnsi"/>
        </w:rPr>
        <w:t xml:space="preserve"> anche per la mappatura di tutte le procedure più rilevanti, nonché </w:t>
      </w:r>
      <w:r w:rsidR="0009468E" w:rsidRPr="00D1586A">
        <w:rPr>
          <w:rFonts w:cstheme="minorHAnsi"/>
        </w:rPr>
        <w:t>per l’</w:t>
      </w:r>
      <w:r w:rsidRPr="00D1586A">
        <w:rPr>
          <w:rFonts w:cstheme="minorHAnsi"/>
        </w:rPr>
        <w:t>identificazione delle misure.</w:t>
      </w:r>
    </w:p>
    <w:p w14:paraId="47AB941D" w14:textId="1C5DE944" w:rsidR="003829BC" w:rsidRPr="00D1586A" w:rsidRDefault="003829BC" w:rsidP="00537BC7">
      <w:pPr>
        <w:suppressAutoHyphens/>
        <w:spacing w:before="100" w:after="0" w:line="100" w:lineRule="atLeast"/>
        <w:jc w:val="both"/>
        <w:rPr>
          <w:rFonts w:cstheme="minorHAnsi"/>
        </w:rPr>
      </w:pPr>
    </w:p>
    <w:p w14:paraId="6132073E" w14:textId="237C9F2A" w:rsidR="003829BC" w:rsidRPr="00D1586A" w:rsidRDefault="003829BC" w:rsidP="00537BC7">
      <w:pPr>
        <w:suppressAutoHyphens/>
        <w:spacing w:before="100" w:after="0" w:line="100" w:lineRule="atLeast"/>
        <w:jc w:val="both"/>
        <w:rPr>
          <w:rFonts w:cstheme="minorHAnsi"/>
          <w:b/>
          <w:bCs/>
        </w:rPr>
      </w:pPr>
      <w:r w:rsidRPr="00D1586A">
        <w:rPr>
          <w:rFonts w:cstheme="minorHAnsi"/>
          <w:b/>
          <w:bCs/>
        </w:rPr>
        <w:t>IL RUOLO DEL RESPONSABILE PER LA PREVENZIONE DELLA CORRUZIONE E PER LA TRASPARENZA</w:t>
      </w:r>
    </w:p>
    <w:p w14:paraId="6ABBE2A0" w14:textId="77777777" w:rsidR="003829BC" w:rsidRPr="00D1586A" w:rsidRDefault="003829BC" w:rsidP="003829BC">
      <w:pPr>
        <w:suppressAutoHyphens/>
        <w:spacing w:before="100" w:after="0" w:line="100" w:lineRule="atLeast"/>
        <w:jc w:val="both"/>
        <w:rPr>
          <w:rFonts w:cstheme="minorHAnsi"/>
        </w:rPr>
      </w:pPr>
      <w:r w:rsidRPr="00D1586A">
        <w:rPr>
          <w:rFonts w:cstheme="minorHAnsi"/>
        </w:rPr>
        <w:lastRenderedPageBreak/>
        <w:t>Il Responsabile per la Prevenzione della Corruzione e della Trasparenza (RPCT), unisce a sé l’incarico di Responsabile della valutazione dei risultati, in assenza di OIV o di figure alternative all’interno dell’organizzazione della Comunità, e ad esso sono riconosciuti poteri e funzioni idonei a garantire lo svolgimento dell’incarico con autonomia ed effettività.</w:t>
      </w:r>
    </w:p>
    <w:p w14:paraId="44F20A70" w14:textId="77777777" w:rsidR="003829BC" w:rsidRPr="00D1586A" w:rsidRDefault="003829BC" w:rsidP="003829BC">
      <w:pPr>
        <w:suppressAutoHyphens/>
        <w:spacing w:before="100" w:after="0" w:line="100" w:lineRule="atLeast"/>
        <w:jc w:val="both"/>
        <w:rPr>
          <w:rFonts w:cstheme="minorHAnsi"/>
        </w:rPr>
      </w:pPr>
      <w:r w:rsidRPr="00D1586A">
        <w:rPr>
          <w:rFonts w:cstheme="minorHAnsi"/>
        </w:rPr>
        <w:t>Il Responsabile per la Prevenzione della Corruzione e della Trasparenza (RPCT) riveste un ruolo centrale nell'ambito della normativa e dell'organizzazione amministrativa di prevenzione della corruzione e della promozione della trasparenza. La legge n. 190/2012 prevede che ogni amministrazione pubblica nomini un Responsabile di Prevenzione della Corruzione e della Trasparenza, in possesso di particolari requisiti. Nelle Comunità il RPCT è individuato, di norma, nel Segretario, salva diversa e motivata determinazione ed è nominato dalla Presidente quale organo di indirizzo politico amministrativo dell'ente. Analogamente per questa Comunità.</w:t>
      </w:r>
    </w:p>
    <w:p w14:paraId="14873D43" w14:textId="77777777" w:rsidR="003829BC" w:rsidRPr="00D1586A" w:rsidRDefault="003829BC" w:rsidP="003829BC">
      <w:pPr>
        <w:suppressAutoHyphens/>
        <w:spacing w:before="100" w:after="0" w:line="100" w:lineRule="atLeast"/>
        <w:jc w:val="both"/>
        <w:rPr>
          <w:rFonts w:cstheme="minorHAnsi"/>
        </w:rPr>
      </w:pPr>
      <w:r w:rsidRPr="00D1586A">
        <w:rPr>
          <w:rFonts w:cstheme="minorHAnsi"/>
        </w:rPr>
        <w:t>Il RPCT, il cui ruolo e funzione deve essere svolto in condizioni di garanzia e indipendenza, in particolare, provvede:</w:t>
      </w:r>
    </w:p>
    <w:p w14:paraId="2345ED43" w14:textId="77777777" w:rsidR="003829BC" w:rsidRPr="00D1586A" w:rsidRDefault="003829BC" w:rsidP="003829BC">
      <w:pPr>
        <w:numPr>
          <w:ilvl w:val="0"/>
          <w:numId w:val="4"/>
        </w:numPr>
        <w:suppressAutoHyphens/>
        <w:spacing w:before="100" w:after="0" w:line="100" w:lineRule="atLeast"/>
        <w:jc w:val="both"/>
        <w:rPr>
          <w:rFonts w:cstheme="minorHAnsi"/>
        </w:rPr>
      </w:pPr>
      <w:r w:rsidRPr="00D1586A">
        <w:rPr>
          <w:rFonts w:cstheme="minorHAnsi"/>
        </w:rPr>
        <w:t xml:space="preserve">alla predisposizione del PTPCT entro i termini stabiliti; </w:t>
      </w:r>
    </w:p>
    <w:p w14:paraId="4CABE67A" w14:textId="77777777" w:rsidR="003829BC" w:rsidRPr="00D1586A" w:rsidRDefault="003829BC" w:rsidP="003829BC">
      <w:pPr>
        <w:numPr>
          <w:ilvl w:val="0"/>
          <w:numId w:val="4"/>
        </w:numPr>
        <w:suppressAutoHyphens/>
        <w:spacing w:before="100" w:after="0" w:line="100" w:lineRule="atLeast"/>
        <w:jc w:val="both"/>
        <w:rPr>
          <w:rFonts w:cstheme="minorHAnsi"/>
        </w:rPr>
      </w:pPr>
      <w:r w:rsidRPr="00D1586A">
        <w:rPr>
          <w:rFonts w:cstheme="minorHAnsi"/>
        </w:rPr>
        <w:t xml:space="preserve">a proporre la modifica del Piano quando sono accertate significative violazioni delle prescrizioni ovvero quando intervengono mutamenti nell’organizzazione o nell’attività dell’amministrazione; </w:t>
      </w:r>
    </w:p>
    <w:p w14:paraId="79B5A691" w14:textId="77777777" w:rsidR="003829BC" w:rsidRPr="00D1586A" w:rsidRDefault="003829BC" w:rsidP="003829BC">
      <w:pPr>
        <w:numPr>
          <w:ilvl w:val="0"/>
          <w:numId w:val="4"/>
        </w:numPr>
        <w:suppressAutoHyphens/>
        <w:spacing w:before="100" w:after="0" w:line="100" w:lineRule="atLeast"/>
        <w:jc w:val="both"/>
        <w:rPr>
          <w:rFonts w:cstheme="minorHAnsi"/>
        </w:rPr>
      </w:pPr>
      <w:r w:rsidRPr="00D1586A">
        <w:rPr>
          <w:rFonts w:cstheme="minorHAnsi"/>
        </w:rPr>
        <w:t xml:space="preserve">alla verifica dell’effettiva possibilità di rotazione degli incarichi negli uffici preposti allo svolgimento delle attività a rischio corruzione; </w:t>
      </w:r>
    </w:p>
    <w:p w14:paraId="48C3F71F" w14:textId="77777777" w:rsidR="003829BC" w:rsidRPr="00D1586A" w:rsidRDefault="003829BC" w:rsidP="003829BC">
      <w:pPr>
        <w:numPr>
          <w:ilvl w:val="0"/>
          <w:numId w:val="4"/>
        </w:numPr>
        <w:suppressAutoHyphens/>
        <w:spacing w:before="100" w:after="0" w:line="100" w:lineRule="atLeast"/>
        <w:jc w:val="both"/>
        <w:rPr>
          <w:rFonts w:cstheme="minorHAnsi"/>
        </w:rPr>
      </w:pPr>
      <w:r w:rsidRPr="00D1586A">
        <w:rPr>
          <w:rFonts w:cstheme="minorHAnsi"/>
        </w:rPr>
        <w:t xml:space="preserve">ad individuare il personale da inserire nei programmi di formazione e definire le procedure appropriate per selezionare e formare i dipendenti dell’ente che operano nei settori più a rischio; </w:t>
      </w:r>
    </w:p>
    <w:p w14:paraId="20EC3036" w14:textId="77777777" w:rsidR="003829BC" w:rsidRPr="00D1586A" w:rsidRDefault="003829BC" w:rsidP="003829BC">
      <w:pPr>
        <w:numPr>
          <w:ilvl w:val="0"/>
          <w:numId w:val="4"/>
        </w:numPr>
        <w:suppressAutoHyphens/>
        <w:spacing w:before="100" w:after="0" w:line="100" w:lineRule="atLeast"/>
        <w:jc w:val="both"/>
        <w:rPr>
          <w:rFonts w:cstheme="minorHAnsi"/>
        </w:rPr>
      </w:pPr>
      <w:r w:rsidRPr="00D1586A">
        <w:rPr>
          <w:rFonts w:cstheme="minorHAnsi"/>
        </w:rPr>
        <w:t xml:space="preserve">a redigere una relazione sui risultati della propria attività e trasmetterla entro il 15 dicembre di ogni anno all’organo di indirizzo politico dell’ente e all'ANAC, pubblicandola sul sito istituzionale; </w:t>
      </w:r>
    </w:p>
    <w:p w14:paraId="20025A31" w14:textId="77777777" w:rsidR="003829BC" w:rsidRPr="00D1586A" w:rsidRDefault="003829BC" w:rsidP="003829BC">
      <w:pPr>
        <w:numPr>
          <w:ilvl w:val="0"/>
          <w:numId w:val="4"/>
        </w:numPr>
        <w:suppressAutoHyphens/>
        <w:spacing w:before="100" w:after="0" w:line="100" w:lineRule="atLeast"/>
        <w:jc w:val="both"/>
        <w:rPr>
          <w:rFonts w:cstheme="minorHAnsi"/>
        </w:rPr>
      </w:pPr>
      <w:r w:rsidRPr="00D1586A">
        <w:rPr>
          <w:rFonts w:cstheme="minorHAnsi"/>
        </w:rPr>
        <w:t xml:space="preserve">alla verifica dell’efficace attuazione del Piano e della sua idoneità. </w:t>
      </w:r>
    </w:p>
    <w:p w14:paraId="154AC3B9" w14:textId="77777777" w:rsidR="003829BC" w:rsidRPr="00D1586A" w:rsidRDefault="003829BC" w:rsidP="003829BC">
      <w:pPr>
        <w:suppressAutoHyphens/>
        <w:spacing w:before="100" w:after="0" w:line="100" w:lineRule="atLeast"/>
        <w:jc w:val="both"/>
        <w:rPr>
          <w:rFonts w:cstheme="minorHAnsi"/>
        </w:rPr>
      </w:pPr>
    </w:p>
    <w:p w14:paraId="70435357" w14:textId="77777777" w:rsidR="003829BC" w:rsidRPr="00D1586A" w:rsidRDefault="003829BC" w:rsidP="003829BC">
      <w:pPr>
        <w:suppressAutoHyphens/>
        <w:spacing w:before="100" w:after="0" w:line="100" w:lineRule="atLeast"/>
        <w:jc w:val="both"/>
        <w:rPr>
          <w:rFonts w:cstheme="minorHAnsi"/>
        </w:rPr>
      </w:pPr>
      <w:r w:rsidRPr="00D1586A">
        <w:rPr>
          <w:rFonts w:cstheme="minorHAnsi"/>
        </w:rPr>
        <w:t>Le misure di prevenzione della corruzione coinvolgono il contesto organizzativo, in quanto con esse vengono adottati interventi che incidono sull'amministrazione nel suo complesso, ovvero su singoli settori, ovvero ancora su singoli processi/procedimenti tesi a ridurre le condizioni operative che favoriscono la corruzione. Per tali ragioni il RPCT deve assicurare il pieno coinvolgimento e la massima partecipazione attiva, in tutte le fasi di predisposizione ed attuazione delle misure di prevenzione, dell'intera struttura, favorendo la responsabilizzazione degli uffici al fine di garantire una migliore qualità del PTPCT, evitando che le stesse misure si trasformino in un mero adempimento. A tal fine, una fondamentale azione da parte del RPCT, oltre al coinvolgimento attivo di tutta la struttura organizzativa, è l'investimento in attività di formazione in materia di anticorruzione, così come meglio specificato.</w:t>
      </w:r>
    </w:p>
    <w:p w14:paraId="61E12737" w14:textId="0DFFA8B6" w:rsidR="003829BC" w:rsidRPr="00D1586A" w:rsidRDefault="003829BC" w:rsidP="003829BC">
      <w:pPr>
        <w:suppressAutoHyphens/>
        <w:snapToGrid w:val="0"/>
        <w:spacing w:before="100" w:after="0" w:line="100" w:lineRule="atLeast"/>
        <w:jc w:val="both"/>
        <w:rPr>
          <w:rFonts w:cstheme="minorHAnsi"/>
        </w:rPr>
      </w:pPr>
      <w:r w:rsidRPr="00D1586A">
        <w:rPr>
          <w:rFonts w:cstheme="minorHAnsi"/>
        </w:rPr>
        <w:t xml:space="preserve">Il Responsabile della Prevenzione della Corruzione e della Trasparenza, per l’esercizio delle proprie funzioni, non può avvalersi della collaborazione di alcun funzionario amministrativo od anche addetto ai servizi </w:t>
      </w:r>
      <w:r w:rsidR="00F466F5">
        <w:rPr>
          <w:rFonts w:cstheme="minorHAnsi"/>
        </w:rPr>
        <w:t xml:space="preserve">generali </w:t>
      </w:r>
      <w:r w:rsidRPr="00D1586A">
        <w:rPr>
          <w:rFonts w:cstheme="minorHAnsi"/>
        </w:rPr>
        <w:t xml:space="preserve">con mansioni direttive, figure del tutto assenti nella organizzazione </w:t>
      </w:r>
      <w:r w:rsidR="00F466F5">
        <w:rPr>
          <w:rFonts w:cstheme="minorHAnsi"/>
        </w:rPr>
        <w:t>del Comune</w:t>
      </w:r>
      <w:r w:rsidRPr="00D1586A">
        <w:rPr>
          <w:rFonts w:cstheme="minorHAnsi"/>
        </w:rPr>
        <w:t>.</w:t>
      </w:r>
    </w:p>
    <w:p w14:paraId="42EBA044" w14:textId="3B593B68" w:rsidR="003829BC" w:rsidRPr="00D1586A" w:rsidRDefault="003829BC" w:rsidP="003829BC">
      <w:pPr>
        <w:suppressAutoHyphens/>
        <w:spacing w:before="100" w:after="0" w:line="100" w:lineRule="atLeast"/>
        <w:jc w:val="both"/>
        <w:textAlignment w:val="top"/>
        <w:rPr>
          <w:rFonts w:cstheme="minorHAnsi"/>
        </w:rPr>
      </w:pPr>
      <w:r w:rsidRPr="00D1586A">
        <w:rPr>
          <w:rFonts w:cstheme="minorHAnsi"/>
        </w:rPr>
        <w:t xml:space="preserve">Ai sensi della delibera 831 del 03.08.2016 di ANAC si segnala che il ruolo di RASA (soggetto responsabile dell’inserimento e dell’aggiornamento annuale degli elementi identificativi della stazione appaltante stessa) </w:t>
      </w:r>
      <w:r w:rsidR="00F466F5">
        <w:rPr>
          <w:rFonts w:cstheme="minorHAnsi"/>
        </w:rPr>
        <w:t>del Comune</w:t>
      </w:r>
      <w:r w:rsidRPr="00D1586A">
        <w:rPr>
          <w:rFonts w:cstheme="minorHAnsi"/>
        </w:rPr>
        <w:t xml:space="preserve"> è stato assunto</w:t>
      </w:r>
      <w:r w:rsidR="00F466F5">
        <w:rPr>
          <w:rFonts w:cstheme="minorHAnsi"/>
        </w:rPr>
        <w:t>,</w:t>
      </w:r>
      <w:r w:rsidRPr="00D1586A">
        <w:rPr>
          <w:rFonts w:cstheme="minorHAnsi"/>
        </w:rPr>
        <w:t xml:space="preserve"> evidentemente ed analogamente al ruolo di OIV, dallo stesso responsabile dell’unico servizio generale </w:t>
      </w:r>
      <w:r w:rsidR="00F466F5">
        <w:rPr>
          <w:rFonts w:cstheme="minorHAnsi"/>
        </w:rPr>
        <w:t>del Comune</w:t>
      </w:r>
      <w:r w:rsidRPr="00D1586A">
        <w:rPr>
          <w:rFonts w:cstheme="minorHAnsi"/>
        </w:rPr>
        <w:t>.</w:t>
      </w:r>
    </w:p>
    <w:p w14:paraId="64703794" w14:textId="419C6C82" w:rsidR="003829BC" w:rsidRPr="00D1586A" w:rsidRDefault="003829BC" w:rsidP="003829BC">
      <w:pPr>
        <w:suppressAutoHyphens/>
        <w:spacing w:before="100" w:after="0" w:line="100" w:lineRule="atLeast"/>
        <w:jc w:val="both"/>
        <w:textAlignment w:val="top"/>
        <w:rPr>
          <w:rFonts w:cstheme="minorHAnsi"/>
        </w:rPr>
      </w:pPr>
      <w:r w:rsidRPr="00D1586A">
        <w:rPr>
          <w:rFonts w:cstheme="minorHAnsi"/>
        </w:rPr>
        <w:t xml:space="preserve">Dal punto di vista della valutazione del contesto interno alla pubblica amministrazione la figura del </w:t>
      </w:r>
      <w:r w:rsidR="00F466F5">
        <w:rPr>
          <w:rFonts w:cstheme="minorHAnsi"/>
        </w:rPr>
        <w:t>Vices</w:t>
      </w:r>
      <w:r w:rsidRPr="00D1586A">
        <w:rPr>
          <w:rFonts w:cstheme="minorHAnsi"/>
        </w:rPr>
        <w:t xml:space="preserve">egretario </w:t>
      </w:r>
      <w:r w:rsidR="00F466F5">
        <w:rPr>
          <w:rFonts w:cstheme="minorHAnsi"/>
        </w:rPr>
        <w:t xml:space="preserve">part time </w:t>
      </w:r>
      <w:r w:rsidRPr="00D1586A">
        <w:rPr>
          <w:rFonts w:cstheme="minorHAnsi"/>
        </w:rPr>
        <w:t>risulta centrale, essendo il soggetto responsabile di tutti i servizi dell’ente. Questo fattore di rischio, seppur nel suo essere circoscritto, va evidenziato.</w:t>
      </w:r>
      <w:r w:rsidR="00F466F5">
        <w:rPr>
          <w:rFonts w:cstheme="minorHAnsi"/>
        </w:rPr>
        <w:t xml:space="preserve"> Quale misura di prevenzione di tale rischio specifico (quale alternativa al presumerne la buona fede nell’operato quotidiano) lo stesso Vicesegretario, nonché RPCT, RTDigit, DesTDPers, DatLavSic e quant’altro, suggerisce una propria sottoposizione ad intercettazione ambientale per tutto il corso della propria attività.</w:t>
      </w:r>
    </w:p>
    <w:p w14:paraId="343DF0F7" w14:textId="187DC01A" w:rsidR="003829BC" w:rsidRPr="00D1586A" w:rsidRDefault="003829BC" w:rsidP="00537BC7">
      <w:pPr>
        <w:suppressAutoHyphens/>
        <w:spacing w:before="100" w:after="0" w:line="100" w:lineRule="atLeast"/>
        <w:jc w:val="both"/>
        <w:rPr>
          <w:rFonts w:cstheme="minorHAnsi"/>
          <w:b/>
          <w:bCs/>
        </w:rPr>
      </w:pPr>
    </w:p>
    <w:p w14:paraId="0FACBD45" w14:textId="70E5C05A" w:rsidR="00AB6E21" w:rsidRPr="00D1586A" w:rsidRDefault="00AB6E21" w:rsidP="00537BC7">
      <w:pPr>
        <w:suppressAutoHyphens/>
        <w:spacing w:before="100" w:after="0" w:line="100" w:lineRule="atLeast"/>
        <w:jc w:val="both"/>
        <w:rPr>
          <w:rFonts w:cstheme="minorHAnsi"/>
          <w:b/>
          <w:bCs/>
        </w:rPr>
      </w:pPr>
      <w:r w:rsidRPr="00D1586A">
        <w:rPr>
          <w:rFonts w:cstheme="minorHAnsi"/>
          <w:b/>
          <w:bCs/>
        </w:rPr>
        <w:lastRenderedPageBreak/>
        <w:t>IL COORDINAMENTO CON GLI STRUMENTI DI PROGRAMMAZIONE</w:t>
      </w:r>
    </w:p>
    <w:p w14:paraId="0450D854" w14:textId="77777777" w:rsidR="007B51AE" w:rsidRPr="00D1586A" w:rsidRDefault="00AB6E21" w:rsidP="00537BC7">
      <w:pPr>
        <w:suppressAutoHyphens/>
        <w:spacing w:before="100" w:after="0" w:line="100" w:lineRule="atLeast"/>
        <w:jc w:val="both"/>
        <w:rPr>
          <w:rFonts w:cstheme="minorHAnsi"/>
        </w:rPr>
      </w:pPr>
      <w:r w:rsidRPr="00D1586A">
        <w:rPr>
          <w:rFonts w:cstheme="minorHAnsi"/>
        </w:rPr>
        <w:t>Il PTPCT contiene una serie di obiettivi ed azioni che trovano riscontro nel “</w:t>
      </w:r>
      <w:r w:rsidR="007B51AE" w:rsidRPr="00D1586A">
        <w:rPr>
          <w:rFonts w:cstheme="minorHAnsi"/>
        </w:rPr>
        <w:t>Documento Unico di Programmazione</w:t>
      </w:r>
      <w:r w:rsidRPr="00D1586A">
        <w:rPr>
          <w:rFonts w:cstheme="minorHAnsi"/>
        </w:rPr>
        <w:t xml:space="preserve">”, collegando i risultati all’adempimento delle misure previste </w:t>
      </w:r>
      <w:r w:rsidR="007B51AE" w:rsidRPr="00D1586A">
        <w:rPr>
          <w:rFonts w:cstheme="minorHAnsi"/>
        </w:rPr>
        <w:t>all’interno del Documento</w:t>
      </w:r>
      <w:r w:rsidRPr="00D1586A">
        <w:rPr>
          <w:rFonts w:cstheme="minorHAnsi"/>
        </w:rPr>
        <w:t>. In modo specifico gli obiettivi di performance per il corrente anno 2021</w:t>
      </w:r>
      <w:r w:rsidR="007B51AE" w:rsidRPr="00D1586A">
        <w:rPr>
          <w:rFonts w:cstheme="minorHAnsi"/>
        </w:rPr>
        <w:t xml:space="preserve"> sono</w:t>
      </w:r>
      <w:r w:rsidRPr="00D1586A">
        <w:rPr>
          <w:rFonts w:cstheme="minorHAnsi"/>
        </w:rPr>
        <w:t>:</w:t>
      </w:r>
    </w:p>
    <w:p w14:paraId="3A7C14EA" w14:textId="77777777" w:rsidR="00254E54" w:rsidRPr="00D1586A" w:rsidRDefault="00AB6E21" w:rsidP="00254E54">
      <w:pPr>
        <w:pStyle w:val="Paragrafoelenco"/>
        <w:numPr>
          <w:ilvl w:val="0"/>
          <w:numId w:val="10"/>
        </w:numPr>
        <w:suppressAutoHyphens/>
        <w:spacing w:before="100" w:after="0" w:line="100" w:lineRule="atLeast"/>
        <w:jc w:val="both"/>
        <w:rPr>
          <w:rFonts w:cstheme="minorHAnsi"/>
        </w:rPr>
      </w:pPr>
      <w:r w:rsidRPr="00D1586A">
        <w:rPr>
          <w:rFonts w:cstheme="minorHAnsi"/>
        </w:rPr>
        <w:t>Verifica</w:t>
      </w:r>
      <w:r w:rsidR="007B51AE" w:rsidRPr="00D1586A">
        <w:rPr>
          <w:rFonts w:cstheme="minorHAnsi"/>
        </w:rPr>
        <w:t xml:space="preserve"> ed </w:t>
      </w:r>
      <w:r w:rsidRPr="00D1586A">
        <w:rPr>
          <w:rFonts w:cstheme="minorHAnsi"/>
        </w:rPr>
        <w:t>aggiornamento</w:t>
      </w:r>
      <w:r w:rsidR="007B51AE" w:rsidRPr="00D1586A">
        <w:rPr>
          <w:rFonts w:cstheme="minorHAnsi"/>
        </w:rPr>
        <w:t xml:space="preserve"> </w:t>
      </w:r>
      <w:r w:rsidRPr="00D1586A">
        <w:rPr>
          <w:rFonts w:cstheme="minorHAnsi"/>
        </w:rPr>
        <w:t>della sez. “Amministrazione Trasparente”;</w:t>
      </w:r>
    </w:p>
    <w:p w14:paraId="5D2A8122" w14:textId="6830FD8E" w:rsidR="007B51AE" w:rsidRPr="00D1586A" w:rsidRDefault="00AB6E21" w:rsidP="00254E54">
      <w:pPr>
        <w:pStyle w:val="Paragrafoelenco"/>
        <w:numPr>
          <w:ilvl w:val="0"/>
          <w:numId w:val="10"/>
        </w:numPr>
        <w:suppressAutoHyphens/>
        <w:spacing w:before="100" w:after="0" w:line="100" w:lineRule="atLeast"/>
        <w:jc w:val="both"/>
        <w:rPr>
          <w:rFonts w:cstheme="minorHAnsi"/>
        </w:rPr>
      </w:pPr>
      <w:r w:rsidRPr="00D1586A">
        <w:rPr>
          <w:rFonts w:cstheme="minorHAnsi"/>
        </w:rPr>
        <w:t>Attività informativa nei confronti del Responsabile;</w:t>
      </w:r>
    </w:p>
    <w:p w14:paraId="7FAB2CD8" w14:textId="77777777" w:rsidR="007B51AE" w:rsidRPr="00D1586A" w:rsidRDefault="00AB6E21" w:rsidP="007B51AE">
      <w:pPr>
        <w:pStyle w:val="Paragrafoelenco"/>
        <w:numPr>
          <w:ilvl w:val="0"/>
          <w:numId w:val="10"/>
        </w:numPr>
        <w:suppressAutoHyphens/>
        <w:spacing w:before="100" w:after="0" w:line="100" w:lineRule="atLeast"/>
        <w:jc w:val="both"/>
        <w:rPr>
          <w:rFonts w:cstheme="minorHAnsi"/>
        </w:rPr>
      </w:pPr>
      <w:r w:rsidRPr="00D1586A">
        <w:rPr>
          <w:rFonts w:cstheme="minorHAnsi"/>
        </w:rPr>
        <w:t>Verifica e illustrazione del Codice di comportamento dei dipendenti del Comune;</w:t>
      </w:r>
    </w:p>
    <w:p w14:paraId="60C2A77D" w14:textId="64E45D24" w:rsidR="003829BC" w:rsidRPr="00D1586A" w:rsidRDefault="00AB6E21" w:rsidP="007B51AE">
      <w:pPr>
        <w:pStyle w:val="Paragrafoelenco"/>
        <w:numPr>
          <w:ilvl w:val="0"/>
          <w:numId w:val="10"/>
        </w:numPr>
        <w:suppressAutoHyphens/>
        <w:spacing w:before="100" w:after="0" w:line="100" w:lineRule="atLeast"/>
        <w:jc w:val="both"/>
        <w:rPr>
          <w:rFonts w:cstheme="minorHAnsi"/>
        </w:rPr>
      </w:pPr>
      <w:r w:rsidRPr="00D1586A">
        <w:rPr>
          <w:rFonts w:cstheme="minorHAnsi"/>
        </w:rPr>
        <w:t>Verifica a campione del rispetto dell’orario di servizio e della verifica del conflitto di interessi.</w:t>
      </w:r>
    </w:p>
    <w:p w14:paraId="6EFB4FD5" w14:textId="0CD718F8" w:rsidR="003829BC" w:rsidRPr="00D1586A" w:rsidRDefault="003829BC" w:rsidP="00537BC7">
      <w:pPr>
        <w:suppressAutoHyphens/>
        <w:spacing w:before="100" w:after="0" w:line="100" w:lineRule="atLeast"/>
        <w:jc w:val="both"/>
        <w:rPr>
          <w:rFonts w:cstheme="minorHAnsi"/>
        </w:rPr>
      </w:pPr>
    </w:p>
    <w:p w14:paraId="20F2C9DA" w14:textId="77777777" w:rsidR="0090509B" w:rsidRPr="00D1586A" w:rsidRDefault="0090509B" w:rsidP="00537BC7">
      <w:pPr>
        <w:suppressAutoHyphens/>
        <w:spacing w:before="100" w:after="0" w:line="100" w:lineRule="atLeast"/>
        <w:jc w:val="both"/>
        <w:rPr>
          <w:rFonts w:cstheme="minorHAnsi"/>
          <w:b/>
          <w:bCs/>
        </w:rPr>
      </w:pPr>
      <w:r w:rsidRPr="00D1586A">
        <w:rPr>
          <w:rFonts w:cstheme="minorHAnsi"/>
          <w:b/>
          <w:bCs/>
        </w:rPr>
        <w:t>IL PROCESSO SEGUITO PER LA NUOVA MAPPATURA:</w:t>
      </w:r>
    </w:p>
    <w:p w14:paraId="1FFBCD59" w14:textId="2CFF58B9" w:rsidR="0090509B" w:rsidRPr="00D1586A" w:rsidRDefault="0090509B" w:rsidP="00537BC7">
      <w:pPr>
        <w:suppressAutoHyphens/>
        <w:spacing w:before="100" w:after="0" w:line="100" w:lineRule="atLeast"/>
        <w:jc w:val="both"/>
        <w:rPr>
          <w:rFonts w:cstheme="minorHAnsi"/>
          <w:b/>
          <w:bCs/>
        </w:rPr>
      </w:pPr>
      <w:r w:rsidRPr="00D1586A">
        <w:rPr>
          <w:rFonts w:cstheme="minorHAnsi"/>
          <w:b/>
          <w:bCs/>
        </w:rPr>
        <w:t>Identificazione</w:t>
      </w:r>
    </w:p>
    <w:p w14:paraId="55A88886" w14:textId="59D43630" w:rsidR="0090509B" w:rsidRPr="00D1586A" w:rsidRDefault="0090509B" w:rsidP="00537BC7">
      <w:pPr>
        <w:suppressAutoHyphens/>
        <w:spacing w:before="100" w:after="0" w:line="100" w:lineRule="atLeast"/>
        <w:jc w:val="both"/>
        <w:rPr>
          <w:rFonts w:cstheme="minorHAnsi"/>
        </w:rPr>
      </w:pPr>
      <w:r w:rsidRPr="00D1586A">
        <w:rPr>
          <w:rFonts w:cstheme="minorHAnsi"/>
        </w:rPr>
        <w:t>L’identificazione dei processi è il primo passo da realizzare per uno svolgimento corretto della mappatura dei processi (fase 1) e consiste nello stabilire l’unità di analisi (il processo) e nell’identificazione dell’elenco completo dei processi svolti dall’organizzazione che, nelle fasi successive, dovranno essere accuratamente esaminati e descritti: in questa fase l’obiettivo è quello di definire la lista dei processi che dovranno essere oggetto di analisi e approfondimento nella successiva fase</w:t>
      </w:r>
      <w:r w:rsidR="0008002A">
        <w:rPr>
          <w:rFonts w:cstheme="minorHAnsi"/>
        </w:rPr>
        <w:t>, con tutti i limiti – più volte evidenziati a margine delle rispettive descrizioni - che tale dispendiosa attività presenta in termine di efficacia per la lotta alla malversazione pubblica</w:t>
      </w:r>
      <w:r w:rsidRPr="00D1586A">
        <w:rPr>
          <w:rFonts w:cstheme="minorHAnsi"/>
        </w:rPr>
        <w:t>.</w:t>
      </w:r>
    </w:p>
    <w:p w14:paraId="032AD345" w14:textId="77777777" w:rsidR="0090509B" w:rsidRPr="00D1586A" w:rsidRDefault="0090509B" w:rsidP="00537BC7">
      <w:pPr>
        <w:suppressAutoHyphens/>
        <w:spacing w:before="100" w:after="0" w:line="100" w:lineRule="atLeast"/>
        <w:jc w:val="both"/>
        <w:rPr>
          <w:rFonts w:cstheme="minorHAnsi"/>
        </w:rPr>
      </w:pPr>
      <w:r w:rsidRPr="00D1586A">
        <w:rPr>
          <w:rFonts w:cstheme="minorHAnsi"/>
          <w:b/>
          <w:bCs/>
        </w:rPr>
        <w:t>Descrizione</w:t>
      </w:r>
      <w:r w:rsidRPr="00D1586A">
        <w:rPr>
          <w:rFonts w:cstheme="minorHAnsi"/>
        </w:rPr>
        <w:t xml:space="preserve"> </w:t>
      </w:r>
    </w:p>
    <w:p w14:paraId="05B58B96" w14:textId="6D07810F" w:rsidR="0090509B" w:rsidRPr="00D1586A" w:rsidRDefault="0090509B" w:rsidP="00537BC7">
      <w:pPr>
        <w:suppressAutoHyphens/>
        <w:spacing w:before="100" w:after="0" w:line="100" w:lineRule="atLeast"/>
        <w:jc w:val="both"/>
        <w:rPr>
          <w:rFonts w:cstheme="minorHAnsi"/>
        </w:rPr>
      </w:pPr>
      <w:r w:rsidRPr="00D1586A">
        <w:rPr>
          <w:rFonts w:cstheme="minorHAnsi"/>
        </w:rPr>
        <w:t>Dopo aver identificato i processi, come evidenziato nella fase 1, è opportuno comprenderne le modalità di svolgimento attraverso la loro descrizione (fase 2); la descrizione del processo è una fase particolarmente rilevante, in quanto consente di identificare più agevolmente le criticità del processo in funzione delle sue modalità di svolgimento al fine di inserire dei correttivi.</w:t>
      </w:r>
      <w:r w:rsidR="0008002A">
        <w:rPr>
          <w:rFonts w:cstheme="minorHAnsi"/>
        </w:rPr>
        <w:t xml:space="preserve"> Spesso tuttavia il rischio è sopravvalutato, in rapporto all’oggettiva consistenza dell’assetto organizzativo dell’Ente ed al controllo “naturale” che ne deriva.</w:t>
      </w:r>
    </w:p>
    <w:p w14:paraId="0EE7ACEE" w14:textId="77777777" w:rsidR="0090509B" w:rsidRPr="00D1586A" w:rsidRDefault="0090509B" w:rsidP="00537BC7">
      <w:pPr>
        <w:suppressAutoHyphens/>
        <w:spacing w:before="100" w:after="0" w:line="100" w:lineRule="atLeast"/>
        <w:jc w:val="both"/>
        <w:rPr>
          <w:rFonts w:cstheme="minorHAnsi"/>
        </w:rPr>
      </w:pPr>
      <w:r w:rsidRPr="00D1586A">
        <w:rPr>
          <w:rFonts w:cstheme="minorHAnsi"/>
          <w:b/>
          <w:bCs/>
        </w:rPr>
        <w:t>Rappresentazione</w:t>
      </w:r>
    </w:p>
    <w:p w14:paraId="1BD20AD2" w14:textId="4B04B6DA" w:rsidR="0090509B" w:rsidRPr="00D1586A" w:rsidRDefault="0090509B" w:rsidP="00537BC7">
      <w:pPr>
        <w:suppressAutoHyphens/>
        <w:spacing w:before="100" w:after="0" w:line="100" w:lineRule="atLeast"/>
        <w:jc w:val="both"/>
        <w:rPr>
          <w:rFonts w:cstheme="minorHAnsi"/>
        </w:rPr>
      </w:pPr>
      <w:r w:rsidRPr="00D1586A">
        <w:rPr>
          <w:rFonts w:cstheme="minorHAnsi"/>
        </w:rPr>
        <w:t>L’ultima fase della mappatura dei processi (fase 3) concerne la rappresentazione degli elementi descrittivi del processo illustrati nella precedente fase.</w:t>
      </w:r>
    </w:p>
    <w:p w14:paraId="6B112546" w14:textId="77777777" w:rsidR="0090509B" w:rsidRPr="00D1586A" w:rsidRDefault="0090509B" w:rsidP="00537BC7">
      <w:pPr>
        <w:suppressAutoHyphens/>
        <w:spacing w:before="100" w:after="0" w:line="100" w:lineRule="atLeast"/>
        <w:jc w:val="both"/>
        <w:rPr>
          <w:rFonts w:cstheme="minorHAnsi"/>
        </w:rPr>
      </w:pPr>
    </w:p>
    <w:p w14:paraId="3A16CD82" w14:textId="77777777" w:rsidR="0090509B" w:rsidRPr="00D1586A" w:rsidRDefault="0090509B" w:rsidP="00537BC7">
      <w:pPr>
        <w:suppressAutoHyphens/>
        <w:spacing w:before="100" w:after="0" w:line="100" w:lineRule="atLeast"/>
        <w:jc w:val="both"/>
        <w:rPr>
          <w:rFonts w:cstheme="minorHAnsi"/>
          <w:b/>
          <w:bCs/>
        </w:rPr>
      </w:pPr>
      <w:r w:rsidRPr="00D1586A">
        <w:rPr>
          <w:rFonts w:cstheme="minorHAnsi"/>
          <w:b/>
          <w:bCs/>
        </w:rPr>
        <w:t>A. DEFINIZIONI DELL’OGGETTO DI ANALISI:</w:t>
      </w:r>
    </w:p>
    <w:p w14:paraId="1A1115B9" w14:textId="5FB34B8F" w:rsidR="0090509B" w:rsidRPr="00D1586A" w:rsidRDefault="0090509B" w:rsidP="00537BC7">
      <w:pPr>
        <w:suppressAutoHyphens/>
        <w:spacing w:before="100" w:after="0" w:line="100" w:lineRule="atLeast"/>
        <w:jc w:val="both"/>
        <w:rPr>
          <w:rFonts w:cstheme="minorHAnsi"/>
        </w:rPr>
      </w:pPr>
      <w:r w:rsidRPr="00D1586A">
        <w:rPr>
          <w:rFonts w:cstheme="minorHAnsi"/>
        </w:rPr>
        <w:t xml:space="preserve"> </w:t>
      </w:r>
      <w:r w:rsidRPr="00D1586A">
        <w:rPr>
          <w:rFonts w:ascii="Cambria Math" w:hAnsi="Cambria Math" w:cs="Cambria Math"/>
        </w:rPr>
        <w:t>⎯</w:t>
      </w:r>
      <w:r w:rsidRPr="00D1586A">
        <w:rPr>
          <w:rFonts w:cstheme="minorHAnsi"/>
        </w:rPr>
        <w:t xml:space="preserve"> unità di riferimento con livelli di analiticità progressiva;</w:t>
      </w:r>
    </w:p>
    <w:p w14:paraId="260B7AC4" w14:textId="77777777" w:rsidR="0090509B" w:rsidRPr="00D1586A" w:rsidRDefault="0090509B" w:rsidP="00537BC7">
      <w:pPr>
        <w:suppressAutoHyphens/>
        <w:spacing w:before="100" w:after="0" w:line="100" w:lineRule="atLeast"/>
        <w:jc w:val="both"/>
        <w:rPr>
          <w:rFonts w:cstheme="minorHAnsi"/>
        </w:rPr>
      </w:pPr>
      <w:r w:rsidRPr="00D1586A">
        <w:rPr>
          <w:rFonts w:ascii="Cambria Math" w:hAnsi="Cambria Math" w:cs="Cambria Math"/>
        </w:rPr>
        <w:t>⎯</w:t>
      </w:r>
      <w:r w:rsidRPr="00D1586A">
        <w:rPr>
          <w:rFonts w:cstheme="minorHAnsi"/>
        </w:rPr>
        <w:t xml:space="preserve"> rappresentazione del processo rilevato in sede di mappatura;</w:t>
      </w:r>
    </w:p>
    <w:p w14:paraId="105F5B56" w14:textId="05BDB481" w:rsidR="0090509B" w:rsidRPr="00D1586A" w:rsidRDefault="0090509B" w:rsidP="00537BC7">
      <w:pPr>
        <w:suppressAutoHyphens/>
        <w:spacing w:before="100" w:after="0" w:line="100" w:lineRule="atLeast"/>
        <w:jc w:val="both"/>
        <w:rPr>
          <w:rFonts w:cstheme="minorHAnsi"/>
        </w:rPr>
      </w:pPr>
      <w:r w:rsidRPr="00D1586A">
        <w:rPr>
          <w:rFonts w:ascii="Cambria Math" w:hAnsi="Cambria Math" w:cs="Cambria Math"/>
        </w:rPr>
        <w:t>⎯</w:t>
      </w:r>
      <w:r w:rsidRPr="00D1586A">
        <w:rPr>
          <w:rFonts w:cstheme="minorHAnsi"/>
        </w:rPr>
        <w:t xml:space="preserve"> identificazione degli eventi rischiosi per singole attività.</w:t>
      </w:r>
    </w:p>
    <w:p w14:paraId="59C275A1" w14:textId="77777777" w:rsidR="00E24FB7" w:rsidRPr="00D1586A" w:rsidRDefault="00E24FB7" w:rsidP="00537BC7">
      <w:pPr>
        <w:suppressAutoHyphens/>
        <w:spacing w:before="100" w:after="0" w:line="100" w:lineRule="atLeast"/>
        <w:jc w:val="both"/>
        <w:rPr>
          <w:rFonts w:cstheme="minorHAnsi"/>
        </w:rPr>
      </w:pPr>
    </w:p>
    <w:p w14:paraId="26BF4A6B" w14:textId="4B7C22A0" w:rsidR="0090509B" w:rsidRPr="00D1586A" w:rsidRDefault="00E24FB7" w:rsidP="00537BC7">
      <w:pPr>
        <w:suppressAutoHyphens/>
        <w:spacing w:before="100" w:after="0" w:line="100" w:lineRule="atLeast"/>
        <w:jc w:val="both"/>
        <w:rPr>
          <w:rFonts w:cstheme="minorHAnsi"/>
        </w:rPr>
      </w:pPr>
      <w:r w:rsidRPr="00D1586A">
        <w:rPr>
          <w:rFonts w:cstheme="minorHAnsi"/>
          <w:b/>
          <w:bCs/>
        </w:rPr>
        <w:t>B</w:t>
      </w:r>
      <w:r w:rsidR="0090509B" w:rsidRPr="00D1586A">
        <w:rPr>
          <w:rFonts w:cstheme="minorHAnsi"/>
          <w:b/>
          <w:bCs/>
        </w:rPr>
        <w:t>. INDIVIDUAZIONE E FORMALIZZAZIONE DEI RISCHI</w:t>
      </w:r>
    </w:p>
    <w:p w14:paraId="4E2DCB0C" w14:textId="036E3712" w:rsidR="0090509B" w:rsidRPr="00D1586A" w:rsidRDefault="0090509B" w:rsidP="00537BC7">
      <w:pPr>
        <w:suppressAutoHyphens/>
        <w:spacing w:before="100" w:after="0" w:line="100" w:lineRule="atLeast"/>
        <w:jc w:val="both"/>
        <w:rPr>
          <w:rFonts w:cstheme="minorHAnsi"/>
        </w:rPr>
      </w:pPr>
      <w:r w:rsidRPr="00D1586A">
        <w:rPr>
          <w:rFonts w:ascii="Cambria Math" w:hAnsi="Cambria Math" w:cs="Cambria Math"/>
        </w:rPr>
        <w:t>⎯</w:t>
      </w:r>
      <w:r w:rsidRPr="00D1586A">
        <w:rPr>
          <w:rFonts w:cstheme="minorHAnsi"/>
        </w:rPr>
        <w:t xml:space="preserve"> </w:t>
      </w:r>
      <w:r w:rsidR="00E24FB7" w:rsidRPr="00D1586A">
        <w:rPr>
          <w:rFonts w:cstheme="minorHAnsi"/>
        </w:rPr>
        <w:t>sono stati</w:t>
      </w:r>
      <w:r w:rsidRPr="00D1586A">
        <w:rPr>
          <w:rFonts w:cstheme="minorHAnsi"/>
        </w:rPr>
        <w:t xml:space="preserve"> formalizzati e documentati</w:t>
      </w:r>
      <w:r w:rsidR="00254E54" w:rsidRPr="00D1586A">
        <w:rPr>
          <w:rFonts w:cstheme="minorHAnsi"/>
        </w:rPr>
        <w:t xml:space="preserve"> i rischi</w:t>
      </w:r>
      <w:r w:rsidRPr="00D1586A">
        <w:rPr>
          <w:rFonts w:cstheme="minorHAnsi"/>
        </w:rPr>
        <w:t>;</w:t>
      </w:r>
    </w:p>
    <w:p w14:paraId="36436CC8" w14:textId="77777777" w:rsidR="00E24FB7" w:rsidRPr="00D1586A" w:rsidRDefault="00E24FB7" w:rsidP="00537BC7">
      <w:pPr>
        <w:suppressAutoHyphens/>
        <w:spacing w:before="100" w:after="0" w:line="100" w:lineRule="atLeast"/>
        <w:jc w:val="both"/>
        <w:rPr>
          <w:rFonts w:cstheme="minorHAnsi"/>
        </w:rPr>
      </w:pPr>
    </w:p>
    <w:p w14:paraId="41DD7119" w14:textId="345C9B6B" w:rsidR="0090509B" w:rsidRPr="00D1586A" w:rsidRDefault="00E24FB7" w:rsidP="00537BC7">
      <w:pPr>
        <w:suppressAutoHyphens/>
        <w:spacing w:before="100" w:after="0" w:line="100" w:lineRule="atLeast"/>
        <w:jc w:val="both"/>
        <w:rPr>
          <w:rFonts w:cstheme="minorHAnsi"/>
        </w:rPr>
      </w:pPr>
      <w:r w:rsidRPr="00D1586A">
        <w:rPr>
          <w:rFonts w:cstheme="minorHAnsi"/>
          <w:b/>
          <w:bCs/>
        </w:rPr>
        <w:t>C. APPROCCIO</w:t>
      </w:r>
      <w:r w:rsidR="0090509B" w:rsidRPr="00D1586A">
        <w:rPr>
          <w:rFonts w:cstheme="minorHAnsi"/>
          <w:b/>
          <w:bCs/>
        </w:rPr>
        <w:t xml:space="preserve"> VALUTATIVO</w:t>
      </w:r>
    </w:p>
    <w:p w14:paraId="08ED6B12" w14:textId="77777777" w:rsidR="0090509B" w:rsidRPr="00D1586A" w:rsidRDefault="0090509B" w:rsidP="00537BC7">
      <w:pPr>
        <w:suppressAutoHyphens/>
        <w:spacing w:before="100" w:after="0" w:line="100" w:lineRule="atLeast"/>
        <w:jc w:val="both"/>
        <w:rPr>
          <w:rFonts w:cstheme="minorHAnsi"/>
        </w:rPr>
      </w:pPr>
      <w:r w:rsidRPr="00D1586A">
        <w:rPr>
          <w:rFonts w:ascii="Cambria Math" w:hAnsi="Cambria Math" w:cs="Cambria Math"/>
        </w:rPr>
        <w:t>⎯</w:t>
      </w:r>
      <w:r w:rsidRPr="00D1586A">
        <w:rPr>
          <w:rFonts w:cstheme="minorHAnsi"/>
        </w:rPr>
        <w:t xml:space="preserve"> la scelta di tipo qualitativo è espressa dai soggetti coinvolti nell’analisi, su specifici criteri di tipo non numerico, ma concettuale;</w:t>
      </w:r>
    </w:p>
    <w:p w14:paraId="5D691DD1" w14:textId="5FC3287E" w:rsidR="0090509B" w:rsidRPr="00D1586A" w:rsidRDefault="0090509B" w:rsidP="00537BC7">
      <w:pPr>
        <w:suppressAutoHyphens/>
        <w:spacing w:before="100" w:after="0" w:line="100" w:lineRule="atLeast"/>
        <w:jc w:val="both"/>
        <w:rPr>
          <w:rFonts w:cstheme="minorHAnsi"/>
        </w:rPr>
      </w:pPr>
      <w:r w:rsidRPr="00D1586A">
        <w:rPr>
          <w:rFonts w:ascii="Cambria Math" w:hAnsi="Cambria Math" w:cs="Cambria Math"/>
        </w:rPr>
        <w:t>⎯</w:t>
      </w:r>
      <w:r w:rsidRPr="00D1586A">
        <w:rPr>
          <w:rFonts w:cstheme="minorHAnsi"/>
        </w:rPr>
        <w:t xml:space="preserve"> la scelta di tipo quantitativo utilizza l’analisi statistica o matematica per quantificare l’esposizione al rischio in termini numerici. </w:t>
      </w:r>
    </w:p>
    <w:p w14:paraId="51847E1A" w14:textId="77777777" w:rsidR="00A61978" w:rsidRPr="00D1586A" w:rsidRDefault="00A61978" w:rsidP="00537BC7">
      <w:pPr>
        <w:suppressAutoHyphens/>
        <w:spacing w:before="100" w:after="0" w:line="100" w:lineRule="atLeast"/>
        <w:jc w:val="both"/>
        <w:rPr>
          <w:rFonts w:cstheme="minorHAnsi"/>
        </w:rPr>
      </w:pPr>
    </w:p>
    <w:p w14:paraId="7099F83E" w14:textId="771EED61" w:rsidR="00A94B74" w:rsidRPr="00D1586A" w:rsidRDefault="0090509B" w:rsidP="00537BC7">
      <w:pPr>
        <w:suppressAutoHyphens/>
        <w:spacing w:before="100" w:after="0" w:line="100" w:lineRule="atLeast"/>
        <w:jc w:val="both"/>
        <w:rPr>
          <w:rFonts w:cstheme="minorHAnsi"/>
          <w:b/>
          <w:bCs/>
        </w:rPr>
      </w:pPr>
      <w:r w:rsidRPr="00D1586A">
        <w:rPr>
          <w:rFonts w:cstheme="minorHAnsi"/>
          <w:b/>
          <w:bCs/>
        </w:rPr>
        <w:t>TUTTI</w:t>
      </w:r>
      <w:r w:rsidR="00254E54" w:rsidRPr="00D1586A">
        <w:rPr>
          <w:rFonts w:cstheme="minorHAnsi"/>
          <w:b/>
          <w:bCs/>
        </w:rPr>
        <w:t xml:space="preserve"> I </w:t>
      </w:r>
      <w:r w:rsidRPr="00D1586A">
        <w:rPr>
          <w:rFonts w:cstheme="minorHAnsi"/>
          <w:b/>
          <w:bCs/>
        </w:rPr>
        <w:t>COLLABORATORI A QUALSIASI TITOLO DELL’AMMINISTRAZIONE</w:t>
      </w:r>
      <w:r w:rsidR="00A94B74" w:rsidRPr="00D1586A">
        <w:rPr>
          <w:rFonts w:cstheme="minorHAnsi"/>
          <w:b/>
          <w:bCs/>
        </w:rPr>
        <w:t>:</w:t>
      </w:r>
    </w:p>
    <w:p w14:paraId="33981691" w14:textId="77777777" w:rsidR="00A94B74" w:rsidRPr="00D1586A" w:rsidRDefault="0090509B" w:rsidP="00537BC7">
      <w:pPr>
        <w:suppressAutoHyphens/>
        <w:spacing w:before="100" w:after="0" w:line="100" w:lineRule="atLeast"/>
        <w:jc w:val="both"/>
        <w:rPr>
          <w:rFonts w:cstheme="minorHAnsi"/>
        </w:rPr>
      </w:pPr>
      <w:r w:rsidRPr="00D1586A">
        <w:rPr>
          <w:rFonts w:cstheme="minorHAnsi"/>
        </w:rPr>
        <w:lastRenderedPageBreak/>
        <w:t>a. osservano le misure contenute nel PTPCT e nel vigente Codice di Comportamento;</w:t>
      </w:r>
    </w:p>
    <w:p w14:paraId="32E58B75" w14:textId="5E3F0B0F" w:rsidR="007547EA" w:rsidRPr="00D1586A" w:rsidRDefault="0090509B" w:rsidP="00537BC7">
      <w:pPr>
        <w:suppressAutoHyphens/>
        <w:spacing w:before="100" w:after="0" w:line="100" w:lineRule="atLeast"/>
        <w:jc w:val="both"/>
        <w:rPr>
          <w:rFonts w:cstheme="minorHAnsi"/>
        </w:rPr>
      </w:pPr>
      <w:r w:rsidRPr="00D1586A">
        <w:rPr>
          <w:rFonts w:cstheme="minorHAnsi"/>
        </w:rPr>
        <w:t>b. segnalano le situazioni di illecito. È noto che l’art. 2, comma 3, del Codice di comportamento (ex D.P.R. n. 62/2013) prevede l’estensione degli obblighi di condotta anche nei confronti di tutti i collaboratori dell’Amministrazione, dei titolari di organi e di incarichi negli uffici di diretta collaborazione delle autorità, nonché nei confronti di collaboratori a qualsiasi titolo di imprese fornitrici di beni o servizi o che realizzano opere in favore dell’Amministrazione: in caso di affidamento di incarichi, servizi, fornitura, lavori, e similari il soggetto dovrà dichiarare di aver preso visione del Codice di comportamento e del PTPCT e di osservare la disciplina ivi richiamata, pena la potenziale risoluzione del rapporto (c.d. clausola risolutiva espressa).</w:t>
      </w:r>
    </w:p>
    <w:p w14:paraId="4A28A3E6" w14:textId="77777777" w:rsidR="00E24FB7" w:rsidRPr="00D1586A" w:rsidRDefault="00E24FB7" w:rsidP="00537BC7">
      <w:pPr>
        <w:suppressAutoHyphens/>
        <w:spacing w:before="100" w:after="0" w:line="100" w:lineRule="atLeast"/>
        <w:jc w:val="both"/>
        <w:rPr>
          <w:rFonts w:cstheme="minorHAnsi"/>
        </w:rPr>
      </w:pPr>
    </w:p>
    <w:p w14:paraId="289336C8" w14:textId="706B3275" w:rsidR="004B26D5" w:rsidRPr="00D1586A" w:rsidRDefault="004B26D5" w:rsidP="004B26D5">
      <w:pPr>
        <w:keepNext/>
        <w:suppressAutoHyphens/>
        <w:spacing w:before="240" w:after="60"/>
        <w:outlineLvl w:val="0"/>
        <w:rPr>
          <w:rFonts w:eastAsia="Times New Roman" w:cstheme="minorHAnsi"/>
          <w:b/>
          <w:sz w:val="28"/>
          <w:szCs w:val="20"/>
          <w:lang w:eastAsia="zh-CN"/>
        </w:rPr>
      </w:pPr>
      <w:r w:rsidRPr="00D1586A">
        <w:rPr>
          <w:rFonts w:eastAsia="Times New Roman" w:cstheme="minorHAnsi"/>
          <w:b/>
          <w:sz w:val="24"/>
          <w:szCs w:val="24"/>
          <w:lang w:eastAsia="zh-CN"/>
        </w:rPr>
        <w:t>LE MISURE ORGANIZZATIVE DI CARATTERE GENERALE</w:t>
      </w:r>
    </w:p>
    <w:p w14:paraId="32A95AC4" w14:textId="56878AD1" w:rsidR="004B26D5" w:rsidRPr="00D1586A" w:rsidRDefault="004B26D5" w:rsidP="004B26D5">
      <w:pPr>
        <w:suppressAutoHyphens/>
        <w:spacing w:before="100" w:after="0" w:line="100" w:lineRule="atLeast"/>
        <w:jc w:val="both"/>
        <w:rPr>
          <w:rFonts w:eastAsia="Times New Roman" w:cstheme="minorHAnsi"/>
          <w:lang w:eastAsia="zh-CN"/>
        </w:rPr>
      </w:pPr>
      <w:r w:rsidRPr="00D1586A">
        <w:rPr>
          <w:rFonts w:eastAsia="Times New Roman" w:cstheme="minorHAnsi"/>
          <w:lang w:eastAsia="zh-CN"/>
        </w:rPr>
        <w:t xml:space="preserve">Si riportano di seguito le misure organizzative di carattere generale che l’Amministrazione </w:t>
      </w:r>
      <w:r w:rsidR="0008002A">
        <w:rPr>
          <w:rFonts w:eastAsia="Times New Roman" w:cstheme="minorHAnsi"/>
          <w:lang w:eastAsia="zh-CN"/>
        </w:rPr>
        <w:t>del Comune</w:t>
      </w:r>
      <w:r w:rsidRPr="00D1586A">
        <w:rPr>
          <w:rFonts w:eastAsia="Times New Roman" w:cstheme="minorHAnsi"/>
          <w:lang w:eastAsia="zh-CN"/>
        </w:rPr>
        <w:t xml:space="preserve"> intende mettere in atto, in coerenza con quanto previsto dalla L. 190/2012 e con la propria dimensione organizzativa.</w:t>
      </w:r>
    </w:p>
    <w:p w14:paraId="2473DBA4" w14:textId="0BBDE6D7" w:rsidR="00AE1FA2" w:rsidRPr="00D1586A" w:rsidRDefault="00AE1FA2" w:rsidP="004B26D5">
      <w:pPr>
        <w:suppressAutoHyphens/>
        <w:spacing w:before="100" w:after="0" w:line="100" w:lineRule="atLeast"/>
        <w:jc w:val="both"/>
        <w:rPr>
          <w:rFonts w:eastAsia="Times New Roman" w:cstheme="minorHAnsi"/>
          <w:lang w:eastAsia="zh-CN"/>
        </w:rPr>
      </w:pPr>
    </w:p>
    <w:p w14:paraId="2CF89B60" w14:textId="6CE087F9" w:rsidR="00AE1FA2" w:rsidRPr="00D1586A" w:rsidRDefault="00AE1FA2" w:rsidP="00AE1FA2">
      <w:pPr>
        <w:keepNext/>
        <w:numPr>
          <w:ilvl w:val="1"/>
          <w:numId w:val="0"/>
        </w:numPr>
        <w:suppressAutoHyphens/>
        <w:spacing w:before="240" w:after="60"/>
        <w:outlineLvl w:val="1"/>
        <w:rPr>
          <w:rFonts w:eastAsia="Times New Roman" w:cstheme="minorHAnsi"/>
          <w:b/>
          <w:i/>
          <w:lang w:eastAsia="zh-CN"/>
        </w:rPr>
      </w:pPr>
      <w:r w:rsidRPr="00D1586A">
        <w:rPr>
          <w:rFonts w:eastAsia="Times New Roman" w:cstheme="minorHAnsi"/>
          <w:b/>
          <w:lang w:eastAsia="zh-CN"/>
        </w:rPr>
        <w:t>FORMAZIONE</w:t>
      </w:r>
    </w:p>
    <w:p w14:paraId="586D874B" w14:textId="77777777" w:rsidR="00AE1FA2" w:rsidRPr="00D1586A" w:rsidRDefault="00AE1FA2" w:rsidP="00AE1FA2">
      <w:pPr>
        <w:suppressAutoHyphens/>
        <w:autoSpaceDE w:val="0"/>
        <w:spacing w:before="100" w:after="0" w:line="100" w:lineRule="atLeast"/>
        <w:jc w:val="both"/>
        <w:rPr>
          <w:rFonts w:eastAsia="Times New Roman" w:cstheme="minorHAnsi"/>
          <w:lang w:eastAsia="zh-CN"/>
        </w:rPr>
      </w:pPr>
      <w:r w:rsidRPr="00D1586A">
        <w:rPr>
          <w:rFonts w:eastAsia="Times New Roman" w:cstheme="minorHAnsi"/>
          <w:lang w:eastAsia="zh-CN"/>
        </w:rPr>
        <w:t>Al fine di massimizzare l’impatto del Piano, è stata avviata fin dai primi mesi del 2016, anche grazie alla disponibilità del Consorzio dei Comuni Trentini, un’attività di informazione/formazione sui contenuti del Piano rivolta a tutti i dipendenti. La registrazione delle presenze consentirà di assolvere ad uno degli obblighi previsti dalla L. 190/2012 e ribadito dalla circolare della Funzione Pubblica del 25 gennaio 2013.</w:t>
      </w:r>
    </w:p>
    <w:p w14:paraId="7CEC24C7" w14:textId="20EA94D7" w:rsidR="00AE1FA2" w:rsidRPr="00D1586A" w:rsidRDefault="00AE1FA2" w:rsidP="00AE1FA2">
      <w:pPr>
        <w:suppressAutoHyphens/>
        <w:autoSpaceDE w:val="0"/>
        <w:spacing w:before="100" w:after="0" w:line="100" w:lineRule="atLeast"/>
        <w:jc w:val="both"/>
        <w:rPr>
          <w:rFonts w:eastAsia="Times New Roman" w:cstheme="minorHAnsi"/>
          <w:lang w:eastAsia="zh-CN"/>
        </w:rPr>
      </w:pPr>
      <w:r w:rsidRPr="00D1586A">
        <w:rPr>
          <w:rFonts w:eastAsia="Times New Roman" w:cstheme="minorHAnsi"/>
          <w:lang w:eastAsia="zh-CN"/>
        </w:rPr>
        <w:t xml:space="preserve">Saranno programmati anche nel triennio </w:t>
      </w:r>
      <w:r w:rsidR="00677DB7" w:rsidRPr="00D1586A">
        <w:rPr>
          <w:rFonts w:eastAsia="Times New Roman" w:cstheme="minorHAnsi"/>
          <w:lang w:eastAsia="zh-CN"/>
        </w:rPr>
        <w:t>2021</w:t>
      </w:r>
      <w:r w:rsidRPr="00D1586A">
        <w:rPr>
          <w:rFonts w:eastAsia="Times New Roman" w:cstheme="minorHAnsi"/>
          <w:lang w:eastAsia="zh-CN"/>
        </w:rPr>
        <w:t>-202</w:t>
      </w:r>
      <w:r w:rsidR="00677DB7" w:rsidRPr="00D1586A">
        <w:rPr>
          <w:rFonts w:eastAsia="Times New Roman" w:cstheme="minorHAnsi"/>
          <w:lang w:eastAsia="zh-CN"/>
        </w:rPr>
        <w:t>3</w:t>
      </w:r>
      <w:r w:rsidRPr="00D1586A">
        <w:rPr>
          <w:rFonts w:eastAsia="Times New Roman" w:cstheme="minorHAnsi"/>
          <w:lang w:eastAsia="zh-CN"/>
        </w:rPr>
        <w:t>, grazie alla collaborazione progettuale del Consorzio dei Comuni, interventi formativi obbligatori per il personale e per gli amministratori sulle tematiche della trasparenza, dell’integrità e del nuovo accesso civico, sia dal punto di vista della conoscenza della normativa e degli strumenti previsti nel Piano che dal punto di vista valoriale, in modo da accrescere la consapevolezza del senso etico nell’agire quotidiano nell’organizzazione e nei rapporti con l’utenza</w:t>
      </w:r>
      <w:r w:rsidR="00677DB7" w:rsidRPr="00D1586A">
        <w:rPr>
          <w:rFonts w:eastAsia="Times New Roman" w:cstheme="minorHAnsi"/>
          <w:lang w:eastAsia="zh-CN"/>
        </w:rPr>
        <w:t>.</w:t>
      </w:r>
    </w:p>
    <w:p w14:paraId="32E8AF4C" w14:textId="0BCE530A" w:rsidR="004B26D5" w:rsidRPr="00D1586A" w:rsidRDefault="004B26D5" w:rsidP="004B26D5">
      <w:pPr>
        <w:keepNext/>
        <w:numPr>
          <w:ilvl w:val="1"/>
          <w:numId w:val="0"/>
        </w:numPr>
        <w:suppressAutoHyphens/>
        <w:spacing w:before="240" w:after="60"/>
        <w:outlineLvl w:val="1"/>
        <w:rPr>
          <w:rFonts w:eastAsia="Times New Roman" w:cstheme="minorHAnsi"/>
          <w:b/>
          <w:i/>
          <w:lang w:eastAsia="zh-CN"/>
        </w:rPr>
      </w:pPr>
      <w:bookmarkStart w:id="0" w:name="__RefHeading___Toc1970_761212699"/>
      <w:bookmarkEnd w:id="0"/>
      <w:r w:rsidRPr="00D1586A">
        <w:rPr>
          <w:rFonts w:eastAsia="Times New Roman" w:cstheme="minorHAnsi"/>
          <w:b/>
          <w:lang w:eastAsia="zh-CN"/>
        </w:rPr>
        <w:t xml:space="preserve">ROTAZIONE DEL PERSONALE </w:t>
      </w:r>
    </w:p>
    <w:p w14:paraId="2399CB48" w14:textId="77777777" w:rsidR="004B26D5" w:rsidRPr="00D1586A" w:rsidRDefault="004B26D5" w:rsidP="004B26D5">
      <w:pPr>
        <w:suppressAutoHyphens/>
        <w:autoSpaceDE w:val="0"/>
        <w:spacing w:before="100" w:after="0" w:line="100" w:lineRule="atLeast"/>
        <w:jc w:val="both"/>
        <w:rPr>
          <w:rFonts w:eastAsia="Times New Roman" w:cstheme="minorHAnsi"/>
          <w:color w:val="000000"/>
          <w:lang w:eastAsia="zh-CN"/>
        </w:rPr>
      </w:pPr>
      <w:r w:rsidRPr="00D1586A">
        <w:rPr>
          <w:rFonts w:eastAsia="Times New Roman" w:cstheme="minorHAnsi"/>
          <w:color w:val="000000"/>
          <w:lang w:eastAsia="zh-CN"/>
        </w:rPr>
        <w:t xml:space="preserve">Rispetto a quanto auspicato dalla normativa in merito all’adozione di adeguati sistemi di rotazione del personale addetto alle aree a rischio, si rileva la materiale impossibilità di procedere in tal senso alla luce dell’esiguità della propria dotazione organica. </w:t>
      </w:r>
    </w:p>
    <w:p w14:paraId="5E18465F" w14:textId="043D97D4" w:rsidR="004B26D5" w:rsidRPr="00D1586A" w:rsidRDefault="004B26D5" w:rsidP="004B26D5">
      <w:pPr>
        <w:suppressAutoHyphens/>
        <w:autoSpaceDE w:val="0"/>
        <w:spacing w:before="100" w:after="0" w:line="100" w:lineRule="atLeast"/>
        <w:jc w:val="both"/>
        <w:rPr>
          <w:rFonts w:eastAsia="Times New Roman" w:cstheme="minorHAnsi"/>
          <w:color w:val="000000"/>
          <w:lang w:eastAsia="zh-CN"/>
        </w:rPr>
      </w:pPr>
      <w:r w:rsidRPr="00D1586A">
        <w:rPr>
          <w:rFonts w:eastAsia="Times New Roman" w:cstheme="minorHAnsi"/>
          <w:color w:val="000000"/>
          <w:lang w:eastAsia="zh-CN"/>
        </w:rPr>
        <w:t>Pur tuttavia, l’Amministrazione si impegna a valutare nel medio periodo la possibilità di rinforzare attraverso specifici interventi formativi e laddove possibile una parziale fungibilità degli addetti nei processi a contatto con la cittadinanza. Sono al proposito in costante attivazione modalità operative che condividano le attività compiute dagli operatori, evitando in tal modo l’esclusivo o isolato svolgimento delle mansioni assegnate a ciascuno di essi</w:t>
      </w:r>
      <w:r w:rsidR="0008002A">
        <w:rPr>
          <w:rFonts w:eastAsia="Times New Roman" w:cstheme="minorHAnsi"/>
          <w:color w:val="000000"/>
          <w:lang w:eastAsia="zh-CN"/>
        </w:rPr>
        <w:t>;</w:t>
      </w:r>
      <w:r w:rsidRPr="00D1586A">
        <w:rPr>
          <w:rFonts w:eastAsia="Times New Roman" w:cstheme="minorHAnsi"/>
          <w:color w:val="000000"/>
          <w:lang w:eastAsia="zh-CN"/>
        </w:rPr>
        <w:t xml:space="preserve"> tali modalità di condivisione implicano, operativamente e quotidianamente, la trasparenza interna delle cartelle di lavoro. Si sottolinea infine che ogni misura di eventuale misura di rotazione del personale potrà valutarsi unicamente in funzione dell’accrescimento professionale degli addetti verso mansioni altre e diverse da quelle assegnate, stante altresì la necessità, di fonte meramente organizzativa, di perseguire la massima specializzazione nelle mansioni stesse.</w:t>
      </w:r>
    </w:p>
    <w:p w14:paraId="645093B6" w14:textId="77777777" w:rsidR="004B26D5" w:rsidRPr="00D1586A" w:rsidRDefault="004B26D5" w:rsidP="004B26D5">
      <w:pPr>
        <w:suppressAutoHyphens/>
        <w:spacing w:before="100" w:after="0" w:line="100" w:lineRule="atLeast"/>
        <w:jc w:val="both"/>
        <w:rPr>
          <w:rFonts w:eastAsia="Times New Roman" w:cstheme="minorHAnsi"/>
          <w:lang w:eastAsia="zh-CN"/>
        </w:rPr>
      </w:pPr>
      <w:r w:rsidRPr="00D1586A">
        <w:rPr>
          <w:rFonts w:eastAsia="Times New Roman" w:cstheme="minorHAnsi"/>
          <w:lang w:eastAsia="zh-CN"/>
        </w:rPr>
        <w:t>L’aspetto</w:t>
      </w:r>
      <w:r w:rsidRPr="00D1586A">
        <w:rPr>
          <w:rFonts w:eastAsia="Times New Roman" w:cstheme="minorHAnsi"/>
          <w:b/>
          <w:lang w:eastAsia="zh-CN"/>
        </w:rPr>
        <w:t xml:space="preserve"> </w:t>
      </w:r>
      <w:r w:rsidRPr="00D1586A">
        <w:rPr>
          <w:rFonts w:eastAsia="Times New Roman" w:cstheme="minorHAnsi"/>
          <w:lang w:eastAsia="zh-CN"/>
        </w:rPr>
        <w:t>formativo si ritiene essenziale per il mantenimento e lo sviluppo del Piano nel tempo, pertanto, dato atto che la L. 190/2012 attribuisce particolare importanza alla formazione del personale addetto alle aree a più elevato rischio, si presta – relativamente alla formazione - particolare attenzione alle tematiche della trasparenza e della integrità, sia dal punto di vista della conoscenza della normativa e degli strumenti previsti nel Piano che dal punto di vista valoriale, in modo da accrescere sempre più lo sviluppo del senso etico.</w:t>
      </w:r>
    </w:p>
    <w:p w14:paraId="023F87DC" w14:textId="77777777" w:rsidR="004B26D5" w:rsidRPr="00D1586A" w:rsidRDefault="004B26D5" w:rsidP="004B26D5">
      <w:pPr>
        <w:suppressAutoHyphens/>
        <w:autoSpaceDE w:val="0"/>
        <w:spacing w:before="100" w:after="0" w:line="100" w:lineRule="atLeast"/>
        <w:jc w:val="both"/>
        <w:rPr>
          <w:rFonts w:eastAsia="Times New Roman" w:cstheme="minorHAnsi"/>
          <w:color w:val="000000"/>
          <w:lang w:eastAsia="zh-CN"/>
        </w:rPr>
      </w:pPr>
    </w:p>
    <w:p w14:paraId="5A4BB51F" w14:textId="4994F29F" w:rsidR="004B26D5" w:rsidRPr="00D1586A" w:rsidRDefault="004B26D5" w:rsidP="004B26D5">
      <w:pPr>
        <w:keepNext/>
        <w:numPr>
          <w:ilvl w:val="1"/>
          <w:numId w:val="0"/>
        </w:numPr>
        <w:suppressAutoHyphens/>
        <w:spacing w:before="240" w:after="60"/>
        <w:outlineLvl w:val="1"/>
        <w:rPr>
          <w:rFonts w:eastAsia="Times New Roman" w:cstheme="minorHAnsi"/>
          <w:b/>
          <w:i/>
          <w:lang w:eastAsia="zh-CN"/>
        </w:rPr>
      </w:pPr>
      <w:bookmarkStart w:id="1" w:name="__RefHeading___Toc1972_761212699"/>
      <w:bookmarkEnd w:id="1"/>
      <w:r w:rsidRPr="00D1586A">
        <w:rPr>
          <w:rFonts w:eastAsia="Times New Roman" w:cstheme="minorHAnsi"/>
          <w:b/>
          <w:lang w:eastAsia="zh-CN"/>
        </w:rPr>
        <w:lastRenderedPageBreak/>
        <w:t>TRASPARENZA</w:t>
      </w:r>
    </w:p>
    <w:p w14:paraId="78077157" w14:textId="49F66373" w:rsidR="00677DB7" w:rsidRPr="00D1586A" w:rsidRDefault="00677DB7" w:rsidP="00677DB7">
      <w:pPr>
        <w:suppressAutoHyphens/>
        <w:autoSpaceDE w:val="0"/>
        <w:spacing w:before="100" w:after="0" w:line="100" w:lineRule="atLeast"/>
        <w:jc w:val="both"/>
        <w:rPr>
          <w:rFonts w:eastAsia="Times New Roman" w:cstheme="minorHAnsi"/>
          <w:color w:val="000000"/>
          <w:lang w:eastAsia="zh-CN"/>
        </w:rPr>
      </w:pPr>
      <w:r w:rsidRPr="00D1586A">
        <w:rPr>
          <w:rFonts w:eastAsia="Times New Roman" w:cstheme="minorHAnsi"/>
          <w:color w:val="000000"/>
          <w:lang w:eastAsia="zh-CN"/>
        </w:rPr>
        <w:t>L’Amministrazione si impegna – partendo da quanto indicato nell’art. 1 comma 9 della L. 190/2012 – a</w:t>
      </w:r>
      <w:r w:rsidR="0008002A">
        <w:rPr>
          <w:rFonts w:eastAsia="Times New Roman" w:cstheme="minorHAnsi"/>
          <w:color w:val="000000"/>
          <w:lang w:eastAsia="zh-CN"/>
        </w:rPr>
        <w:t>d</w:t>
      </w:r>
      <w:r w:rsidRPr="00D1586A">
        <w:rPr>
          <w:rFonts w:eastAsia="Times New Roman" w:cstheme="minorHAnsi"/>
          <w:color w:val="000000"/>
          <w:lang w:eastAsia="zh-CN"/>
        </w:rPr>
        <w:t xml:space="preserve"> applicare operativamente le prescrizioni in tema di trasparenza secondo quanto previsto dall’art.7 della Legge regionale 13 dicembre 2012, n. 8 (Amministrazione Aperta), così come modificata dalla Legge Regionale 29 ottobre 2014 n.10, tenendo altresì conto delle disposizioni specifiche in materia adottate in sede provinciale ai sensi dell’articolo 59 della legge regionale 22 dicembre 2004, n. 7.</w:t>
      </w:r>
    </w:p>
    <w:p w14:paraId="50940A38" w14:textId="77777777" w:rsidR="00677DB7" w:rsidRPr="00D1586A" w:rsidRDefault="00677DB7" w:rsidP="00677DB7">
      <w:pPr>
        <w:suppressAutoHyphens/>
        <w:autoSpaceDE w:val="0"/>
        <w:spacing w:before="100" w:after="0" w:line="100" w:lineRule="atLeast"/>
        <w:jc w:val="both"/>
        <w:rPr>
          <w:rFonts w:eastAsia="Times New Roman" w:cstheme="minorHAnsi"/>
          <w:lang w:eastAsia="zh-CN"/>
        </w:rPr>
      </w:pPr>
      <w:r w:rsidRPr="00D1586A">
        <w:rPr>
          <w:rFonts w:eastAsia="Times New Roman" w:cstheme="minorHAnsi"/>
          <w:lang w:eastAsia="zh-CN"/>
        </w:rPr>
        <w:t xml:space="preserve">Tutti gli uffici dovranno dare attuazione agli obblighi di trasparenza di propria competenza di cui all'allegato “Elenco obblighi di pubblicazione in Amministrazione Trasparente” e disciplinati dal d.lgs. n. 33/2013, così come novellato dal d.lgs. n. 97/2016. </w:t>
      </w:r>
    </w:p>
    <w:p w14:paraId="14747647" w14:textId="10168385" w:rsidR="004B26D5" w:rsidRPr="00D1586A" w:rsidRDefault="004B26D5" w:rsidP="004B26D5">
      <w:pPr>
        <w:keepNext/>
        <w:numPr>
          <w:ilvl w:val="1"/>
          <w:numId w:val="0"/>
        </w:numPr>
        <w:suppressAutoHyphens/>
        <w:spacing w:before="240" w:after="60"/>
        <w:outlineLvl w:val="1"/>
        <w:rPr>
          <w:rFonts w:eastAsia="Times New Roman" w:cstheme="minorHAnsi"/>
          <w:b/>
          <w:i/>
          <w:lang w:eastAsia="zh-CN"/>
        </w:rPr>
      </w:pPr>
      <w:r w:rsidRPr="00D1586A">
        <w:rPr>
          <w:rFonts w:eastAsia="Times New Roman" w:cstheme="minorHAnsi"/>
          <w:b/>
          <w:lang w:eastAsia="zh-CN"/>
        </w:rPr>
        <w:t>TUTELA DEL DIPENDENTE CHE SEGNALA ILLECITI (WHISTLEBLOWER)</w:t>
      </w:r>
    </w:p>
    <w:p w14:paraId="52EA3BDD" w14:textId="77777777" w:rsidR="004B26D5" w:rsidRPr="00D1586A" w:rsidRDefault="004B26D5" w:rsidP="004B26D5">
      <w:pPr>
        <w:suppressAutoHyphens/>
        <w:autoSpaceDE w:val="0"/>
        <w:spacing w:before="100" w:after="0" w:line="100" w:lineRule="atLeast"/>
        <w:jc w:val="both"/>
        <w:rPr>
          <w:rFonts w:eastAsia="Times New Roman" w:cstheme="minorHAnsi"/>
          <w:lang w:eastAsia="zh-CN"/>
        </w:rPr>
      </w:pPr>
      <w:r w:rsidRPr="00D1586A">
        <w:rPr>
          <w:rFonts w:eastAsia="Times New Roman" w:cstheme="minorHAnsi"/>
          <w:lang w:eastAsia="zh-CN"/>
        </w:rPr>
        <w:t xml:space="preserve">Il RPCT si è impegnato ad applicare effettivamente la normativa sulla segnalazione da parte del dipendente di condotte illecite di cui sia venuto a conoscenza di cui all’art. 54-bis del d.gls. n. 165/2001 e della legge n. 197/2017. Sul punto il predetto responsabile ha reso edotti i dipendenti, nel corso dei momenti auto-formativi, dello strumento messo a disposizione ai fini dell’esercizio dell’attività spionistica ed anche della oculata attenzione a che gli addetti stessi, nel determinarsi ad inoltrare le segnalazioni ritenute doverose, prestino pari attenzione all’evitare di incorrere nel reato di calunnia. </w:t>
      </w:r>
    </w:p>
    <w:p w14:paraId="7F075E5B" w14:textId="19054724" w:rsidR="004B26D5" w:rsidRPr="00D1586A" w:rsidRDefault="004B26D5" w:rsidP="004B26D5">
      <w:pPr>
        <w:suppressAutoHyphens/>
        <w:autoSpaceDE w:val="0"/>
        <w:spacing w:before="100" w:after="0" w:line="100" w:lineRule="atLeast"/>
        <w:jc w:val="both"/>
        <w:rPr>
          <w:rFonts w:eastAsia="Times New Roman" w:cstheme="minorHAnsi"/>
          <w:lang w:eastAsia="zh-CN"/>
        </w:rPr>
      </w:pPr>
      <w:r w:rsidRPr="00D1586A">
        <w:rPr>
          <w:rFonts w:eastAsia="Times New Roman" w:cstheme="minorHAnsi"/>
          <w:lang w:eastAsia="zh-CN"/>
        </w:rPr>
        <w:t xml:space="preserve">Inoltre, in considerazione dello specifico assetto organizzativo dell’Ente, che prevede l’unicità della figura di Responsabile per i servizi dallo stesso erogati, il personale è costantemente invitato a rilevare direttamente a quest’ultimo ogni eventuale episodio riscontrato e potenzialmente inerente al sistema di prevenzione di fenomeni </w:t>
      </w:r>
      <w:r w:rsidR="0008002A">
        <w:rPr>
          <w:rFonts w:eastAsia="Times New Roman" w:cstheme="minorHAnsi"/>
          <w:lang w:eastAsia="zh-CN"/>
        </w:rPr>
        <w:t>corruttivi</w:t>
      </w:r>
      <w:r w:rsidRPr="00D1586A">
        <w:rPr>
          <w:rFonts w:eastAsia="Times New Roman" w:cstheme="minorHAnsi"/>
          <w:lang w:eastAsia="zh-CN"/>
        </w:rPr>
        <w:t>.</w:t>
      </w:r>
    </w:p>
    <w:p w14:paraId="58BBB76D" w14:textId="77777777" w:rsidR="004B26D5" w:rsidRPr="00D1586A" w:rsidRDefault="004B26D5" w:rsidP="004B26D5">
      <w:pPr>
        <w:suppressAutoHyphens/>
        <w:autoSpaceDE w:val="0"/>
        <w:spacing w:before="100" w:after="0" w:line="100" w:lineRule="atLeast"/>
        <w:jc w:val="both"/>
        <w:rPr>
          <w:rFonts w:eastAsia="Times New Roman" w:cstheme="minorHAnsi"/>
          <w:lang w:eastAsia="zh-CN"/>
        </w:rPr>
      </w:pPr>
    </w:p>
    <w:p w14:paraId="3478BFDE" w14:textId="470F7D00" w:rsidR="004B26D5" w:rsidRPr="00D1586A" w:rsidRDefault="004B26D5" w:rsidP="004B26D5">
      <w:pPr>
        <w:keepNext/>
        <w:numPr>
          <w:ilvl w:val="1"/>
          <w:numId w:val="0"/>
        </w:numPr>
        <w:suppressAutoHyphens/>
        <w:spacing w:before="240" w:after="60"/>
        <w:outlineLvl w:val="1"/>
        <w:rPr>
          <w:rFonts w:eastAsia="Times New Roman" w:cstheme="minorHAnsi"/>
          <w:b/>
          <w:i/>
          <w:lang w:eastAsia="zh-CN"/>
        </w:rPr>
      </w:pPr>
      <w:bookmarkStart w:id="2" w:name="__RefHeading___Toc1976_761212699"/>
      <w:bookmarkEnd w:id="2"/>
      <w:r w:rsidRPr="00D1586A">
        <w:rPr>
          <w:rFonts w:eastAsia="Times New Roman" w:cstheme="minorHAnsi"/>
          <w:b/>
          <w:lang w:eastAsia="zh-CN"/>
        </w:rPr>
        <w:t>IL CODICE DI COMPORTAMENTO</w:t>
      </w:r>
    </w:p>
    <w:p w14:paraId="17657760" w14:textId="77777777" w:rsidR="004B26D5" w:rsidRPr="00D1586A" w:rsidRDefault="004B26D5" w:rsidP="004B26D5">
      <w:pPr>
        <w:suppressAutoHyphens/>
        <w:autoSpaceDE w:val="0"/>
        <w:spacing w:before="100" w:after="0" w:line="100" w:lineRule="atLeast"/>
        <w:jc w:val="both"/>
        <w:rPr>
          <w:rFonts w:eastAsia="Times New Roman" w:cstheme="minorHAnsi"/>
          <w:color w:val="000000"/>
          <w:lang w:eastAsia="zh-CN"/>
        </w:rPr>
      </w:pPr>
      <w:r w:rsidRPr="00D1586A">
        <w:rPr>
          <w:rFonts w:eastAsia="Times New Roman" w:cstheme="minorHAnsi"/>
          <w:color w:val="000000"/>
          <w:lang w:eastAsia="zh-CN"/>
        </w:rPr>
        <w:t>L’amministrazione si è impegnata ad adottare le misure che garantiscano il rispetto dei principi dettati dalle norme del codice di comportamento dei dipendenti delle pubbliche amministrazioni di cui al D.P.R. 16 aprile 2013, n. 62, approvate con Provvedimento della Presidente nr. 138/2016, non solo da parte dei propri dipendenti, ma anche, laddove compatibili, da parte di tutti i collaboratori dell’amministrazione, dei titolari di organi e di incarichi negli uffici di diretta collaborazione delle autorità, dei collaboratori a qualsiasi titolo di imprese fornitrici di beni o servizi o che realizzano opere in favore dell’amministrazione così come recepiti in sede di Autonomia provinciale e regionale.</w:t>
      </w:r>
    </w:p>
    <w:p w14:paraId="2AA15B8B" w14:textId="7EF0C281" w:rsidR="004B26D5" w:rsidRPr="00D1586A" w:rsidRDefault="004B26D5" w:rsidP="004B26D5">
      <w:pPr>
        <w:suppressAutoHyphens/>
        <w:autoSpaceDE w:val="0"/>
        <w:spacing w:before="100" w:after="0" w:line="100" w:lineRule="atLeast"/>
        <w:jc w:val="both"/>
        <w:rPr>
          <w:rFonts w:eastAsia="Times New Roman" w:cstheme="minorHAnsi"/>
          <w:lang w:eastAsia="zh-CN"/>
        </w:rPr>
      </w:pPr>
      <w:r w:rsidRPr="00D1586A">
        <w:rPr>
          <w:rFonts w:eastAsia="Times New Roman" w:cstheme="minorHAnsi"/>
          <w:lang w:eastAsia="zh-CN"/>
        </w:rPr>
        <w:t xml:space="preserve">Nei modelli di lettera di invito e nei capitolati d’appalto si farà riferimento all’obbligo di osservanza del codice di comportamento </w:t>
      </w:r>
      <w:r w:rsidR="0008002A">
        <w:rPr>
          <w:rFonts w:eastAsia="Times New Roman" w:cstheme="minorHAnsi"/>
          <w:lang w:eastAsia="zh-CN"/>
        </w:rPr>
        <w:t>del Comune di Lavarone</w:t>
      </w:r>
      <w:r w:rsidRPr="00D1586A">
        <w:rPr>
          <w:rFonts w:eastAsia="Times New Roman" w:cstheme="minorHAnsi"/>
          <w:lang w:eastAsia="zh-CN"/>
        </w:rPr>
        <w:t xml:space="preserve">. </w:t>
      </w:r>
    </w:p>
    <w:p w14:paraId="0B41A9C8" w14:textId="77777777" w:rsidR="004B26D5" w:rsidRPr="00D1586A" w:rsidRDefault="004B26D5" w:rsidP="004B26D5">
      <w:pPr>
        <w:suppressAutoHyphens/>
        <w:autoSpaceDE w:val="0"/>
        <w:spacing w:before="100" w:after="0" w:line="100" w:lineRule="atLeast"/>
        <w:jc w:val="both"/>
        <w:rPr>
          <w:rFonts w:eastAsia="Times New Roman" w:cstheme="minorHAnsi"/>
          <w:color w:val="000000"/>
          <w:lang w:eastAsia="zh-CN"/>
        </w:rPr>
      </w:pPr>
      <w:r w:rsidRPr="00D1586A">
        <w:rPr>
          <w:rFonts w:eastAsia="Times New Roman" w:cstheme="minorHAnsi"/>
          <w:color w:val="000000"/>
          <w:lang w:eastAsia="zh-CN"/>
        </w:rPr>
        <w:t xml:space="preserve">L’Amministrazione si è impegnata ad adottare le misure necessarie all’effettiva attivazione della responsabilità disciplinare dei dipendenti, in caso di violazione dei doveri di comportamento, </w:t>
      </w:r>
      <w:r w:rsidRPr="00D1586A">
        <w:rPr>
          <w:rFonts w:eastAsia="Times New Roman" w:cstheme="minorHAnsi"/>
          <w:bCs/>
          <w:color w:val="000000"/>
          <w:lang w:eastAsia="zh-CN"/>
        </w:rPr>
        <w:t>ivi incluso il dovere di rispettare le prescrizioni contenute nel piano triennale.</w:t>
      </w:r>
    </w:p>
    <w:p w14:paraId="711B1FAA" w14:textId="396E3DFF" w:rsidR="004B26D5" w:rsidRPr="00D1586A" w:rsidRDefault="004B26D5" w:rsidP="004B26D5">
      <w:pPr>
        <w:suppressAutoHyphens/>
        <w:autoSpaceDE w:val="0"/>
        <w:spacing w:before="100" w:after="0" w:line="100" w:lineRule="atLeast"/>
        <w:jc w:val="both"/>
        <w:rPr>
          <w:rFonts w:eastAsia="Times New Roman" w:cstheme="minorHAnsi"/>
          <w:lang w:eastAsia="zh-CN"/>
        </w:rPr>
      </w:pPr>
      <w:r w:rsidRPr="00D1586A">
        <w:rPr>
          <w:rFonts w:eastAsia="Times New Roman" w:cstheme="minorHAnsi"/>
          <w:lang w:eastAsia="zh-CN"/>
        </w:rPr>
        <w:t xml:space="preserve">L’Ente si impegna, </w:t>
      </w:r>
      <w:r w:rsidR="0008002A">
        <w:rPr>
          <w:rFonts w:eastAsia="Times New Roman" w:cstheme="minorHAnsi"/>
          <w:lang w:eastAsia="zh-CN"/>
        </w:rPr>
        <w:t>all’occorrenza</w:t>
      </w:r>
      <w:r w:rsidRPr="00D1586A">
        <w:rPr>
          <w:rFonts w:eastAsia="Times New Roman" w:cstheme="minorHAnsi"/>
          <w:lang w:eastAsia="zh-CN"/>
        </w:rPr>
        <w:t xml:space="preserve">, a rivisitare il Codice di comportamento, alla luce delle risultanze dei monitoraggi effettuati e delle aree di rischio evidenziate in questo Piano e nei Piani precedentemente adottati. </w:t>
      </w:r>
    </w:p>
    <w:p w14:paraId="389ABDEF" w14:textId="77777777" w:rsidR="004B26D5" w:rsidRPr="00D1586A" w:rsidRDefault="004B26D5" w:rsidP="004B26D5">
      <w:pPr>
        <w:suppressAutoHyphens/>
        <w:autoSpaceDE w:val="0"/>
        <w:spacing w:before="100" w:after="0" w:line="100" w:lineRule="atLeast"/>
        <w:jc w:val="both"/>
        <w:rPr>
          <w:rFonts w:eastAsia="Times New Roman" w:cstheme="minorHAnsi"/>
          <w:color w:val="000000"/>
          <w:lang w:eastAsia="zh-CN"/>
        </w:rPr>
      </w:pPr>
    </w:p>
    <w:p w14:paraId="2375595C" w14:textId="7BF07D3F" w:rsidR="004B26D5" w:rsidRPr="00D1586A" w:rsidRDefault="004B26D5" w:rsidP="004B26D5">
      <w:pPr>
        <w:keepNext/>
        <w:numPr>
          <w:ilvl w:val="1"/>
          <w:numId w:val="0"/>
        </w:numPr>
        <w:suppressAutoHyphens/>
        <w:spacing w:before="240" w:after="60"/>
        <w:outlineLvl w:val="1"/>
        <w:rPr>
          <w:rFonts w:eastAsia="Times New Roman" w:cstheme="minorHAnsi"/>
          <w:b/>
          <w:i/>
          <w:lang w:eastAsia="zh-CN"/>
        </w:rPr>
      </w:pPr>
      <w:bookmarkStart w:id="3" w:name="__RefHeading___Toc1978_761212699"/>
      <w:bookmarkEnd w:id="3"/>
      <w:r w:rsidRPr="00D1586A">
        <w:rPr>
          <w:rFonts w:eastAsia="Times New Roman" w:cstheme="minorHAnsi"/>
          <w:b/>
          <w:lang w:eastAsia="zh-CN"/>
        </w:rPr>
        <w:t>INCARICHI EXTRAISTITUZIONALI</w:t>
      </w:r>
    </w:p>
    <w:p w14:paraId="67F1E899" w14:textId="77777777" w:rsidR="004B26D5" w:rsidRPr="00D1586A" w:rsidRDefault="004B26D5" w:rsidP="004B26D5">
      <w:pPr>
        <w:suppressAutoHyphens/>
        <w:autoSpaceDE w:val="0"/>
        <w:spacing w:before="100" w:after="0" w:line="100" w:lineRule="atLeast"/>
        <w:jc w:val="both"/>
        <w:rPr>
          <w:rFonts w:eastAsia="Times New Roman" w:cstheme="minorHAnsi"/>
          <w:color w:val="000000"/>
          <w:lang w:eastAsia="zh-CN"/>
        </w:rPr>
      </w:pPr>
      <w:r w:rsidRPr="00D1586A">
        <w:rPr>
          <w:rFonts w:eastAsia="Times New Roman" w:cstheme="minorHAnsi"/>
          <w:color w:val="000000"/>
          <w:lang w:eastAsia="zh-CN"/>
        </w:rPr>
        <w:t>L’Amministrazione si è impegnata a:</w:t>
      </w:r>
    </w:p>
    <w:p w14:paraId="46752F0A" w14:textId="3529D94E" w:rsidR="004B26D5" w:rsidRPr="00D1586A" w:rsidRDefault="004B26D5" w:rsidP="004B26D5">
      <w:pPr>
        <w:numPr>
          <w:ilvl w:val="0"/>
          <w:numId w:val="16"/>
        </w:numPr>
        <w:suppressAutoHyphens/>
        <w:autoSpaceDE w:val="0"/>
        <w:spacing w:before="100" w:after="0" w:line="100" w:lineRule="atLeast"/>
        <w:ind w:left="284" w:hanging="284"/>
        <w:jc w:val="both"/>
        <w:rPr>
          <w:rFonts w:eastAsia="Times New Roman" w:cstheme="minorHAnsi"/>
          <w:color w:val="000000"/>
          <w:lang w:eastAsia="zh-CN"/>
        </w:rPr>
      </w:pPr>
      <w:r w:rsidRPr="00D1586A">
        <w:rPr>
          <w:rFonts w:eastAsia="Times New Roman" w:cstheme="minorHAnsi"/>
          <w:color w:val="000000"/>
          <w:lang w:eastAsia="zh-CN"/>
        </w:rPr>
        <w:t xml:space="preserve">dare pubblicità alle misure volte alla vigilanza sull’attuazione delle disposizioni in materia di </w:t>
      </w:r>
      <w:r w:rsidRPr="00D1586A">
        <w:rPr>
          <w:rFonts w:eastAsia="Times New Roman" w:cstheme="minorHAnsi"/>
          <w:b/>
          <w:color w:val="000000"/>
          <w:lang w:eastAsia="zh-CN"/>
        </w:rPr>
        <w:t>inconferibilità e incompatibilità degli incarichi</w:t>
      </w:r>
      <w:r w:rsidRPr="00D1586A">
        <w:rPr>
          <w:rFonts w:eastAsia="Times New Roman" w:cstheme="minorHAnsi"/>
          <w:color w:val="000000"/>
          <w:lang w:eastAsia="zh-CN"/>
        </w:rPr>
        <w:t xml:space="preserve"> (di cui ai commi 49 e 50 della legge n. 190/2012), anche successivamente alla cessazione del</w:t>
      </w:r>
      <w:r w:rsidR="0008002A">
        <w:rPr>
          <w:rFonts w:eastAsia="Times New Roman" w:cstheme="minorHAnsi"/>
          <w:color w:val="000000"/>
          <w:lang w:eastAsia="zh-CN"/>
        </w:rPr>
        <w:t>l’u</w:t>
      </w:r>
      <w:r w:rsidRPr="00D1586A">
        <w:rPr>
          <w:rFonts w:eastAsia="Times New Roman" w:cstheme="minorHAnsi"/>
          <w:color w:val="000000"/>
          <w:lang w:eastAsia="zh-CN"/>
        </w:rPr>
        <w:t xml:space="preserve">fficio o al termine dell’incarico (vedi il d.lgs. N. 39/2013 finalizzato alla introduzione di griglie di incompatibilità negli incarichi "apicali" sia nelle amministrazioni dello stato che in quelle locali </w:t>
      </w:r>
      <w:r w:rsidRPr="00D1586A">
        <w:rPr>
          <w:rFonts w:eastAsia="Times New Roman" w:cstheme="minorHAnsi"/>
          <w:color w:val="000000"/>
          <w:lang w:eastAsia="zh-CN"/>
        </w:rPr>
        <w:lastRenderedPageBreak/>
        <w:t xml:space="preserve">(regioni, province e comuni), ma anche negli enti di diritto privato che sono controllati da una pubblica amministrazione, nuovo comma 16-ter dell’articolo 53 del d.lgs. N. 165 del 2001). </w:t>
      </w:r>
    </w:p>
    <w:p w14:paraId="189A7D55" w14:textId="77777777" w:rsidR="004B26D5" w:rsidRPr="00D1586A" w:rsidRDefault="004B26D5" w:rsidP="004B26D5">
      <w:pPr>
        <w:numPr>
          <w:ilvl w:val="0"/>
          <w:numId w:val="17"/>
        </w:numPr>
        <w:tabs>
          <w:tab w:val="left" w:pos="568"/>
        </w:tabs>
        <w:suppressAutoHyphens/>
        <w:autoSpaceDE w:val="0"/>
        <w:spacing w:before="100" w:after="0" w:line="100" w:lineRule="atLeast"/>
        <w:ind w:left="284" w:hanging="284"/>
        <w:jc w:val="both"/>
        <w:rPr>
          <w:rFonts w:eastAsia="Times New Roman" w:cstheme="minorHAnsi"/>
          <w:color w:val="000000"/>
          <w:lang w:eastAsia="zh-CN"/>
        </w:rPr>
      </w:pPr>
      <w:r w:rsidRPr="00D1586A">
        <w:rPr>
          <w:rFonts w:eastAsia="Times New Roman" w:cstheme="minorHAnsi"/>
          <w:color w:val="000000"/>
          <w:lang w:eastAsia="zh-CN"/>
        </w:rPr>
        <w:t xml:space="preserve">adottare misure di verifica dell’attuazione delle disposizioni di legge in materia di </w:t>
      </w:r>
      <w:r w:rsidRPr="00D1586A">
        <w:rPr>
          <w:rFonts w:eastAsia="Times New Roman" w:cstheme="minorHAnsi"/>
          <w:b/>
          <w:color w:val="000000"/>
          <w:lang w:eastAsia="zh-CN"/>
        </w:rPr>
        <w:t>autorizzazione di incarichi esterni</w:t>
      </w:r>
      <w:r w:rsidRPr="00D1586A">
        <w:rPr>
          <w:rFonts w:eastAsia="Times New Roman" w:cstheme="minorHAnsi"/>
          <w:color w:val="000000"/>
          <w:lang w:eastAsia="zh-CN"/>
        </w:rPr>
        <w:t xml:space="preserve">, così come modificate dal comma 42 della legge n. 190, anche alla luce delle conclusioni del tavolo tecnico esplicitate nel documento contenente </w:t>
      </w:r>
      <w:r w:rsidRPr="00D1586A">
        <w:rPr>
          <w:rFonts w:eastAsia="Times New Roman" w:cstheme="minorHAnsi"/>
          <w:i/>
          <w:color w:val="000000"/>
          <w:lang w:eastAsia="zh-CN"/>
        </w:rPr>
        <w:t>"Criteri generali in materia di incarichi vietati ai pubblici dipendenti"</w:t>
      </w:r>
      <w:r w:rsidRPr="00D1586A">
        <w:rPr>
          <w:rFonts w:eastAsia="Times New Roman" w:cstheme="minorHAnsi"/>
          <w:color w:val="000000"/>
          <w:lang w:eastAsia="zh-CN"/>
        </w:rPr>
        <w:t xml:space="preserve"> e delle conseguenti indicazioni della Regione T.A.A. esplicitate con circolare n.3/EL del 14 agosto 2014.</w:t>
      </w:r>
    </w:p>
    <w:p w14:paraId="79C6F287" w14:textId="77777777" w:rsidR="004B26D5" w:rsidRPr="00D1586A" w:rsidRDefault="004B26D5" w:rsidP="004B26D5">
      <w:pPr>
        <w:suppressAutoHyphens/>
        <w:autoSpaceDE w:val="0"/>
        <w:spacing w:before="100" w:after="0" w:line="100" w:lineRule="atLeast"/>
        <w:jc w:val="both"/>
        <w:rPr>
          <w:rFonts w:eastAsia="Times New Roman" w:cstheme="minorHAnsi"/>
          <w:color w:val="000000"/>
          <w:lang w:eastAsia="zh-CN"/>
        </w:rPr>
      </w:pPr>
    </w:p>
    <w:p w14:paraId="60531E46" w14:textId="77777777" w:rsidR="004B26D5" w:rsidRPr="00D1586A" w:rsidRDefault="004B26D5" w:rsidP="004B26D5">
      <w:pPr>
        <w:suppressAutoHyphens/>
        <w:autoSpaceDE w:val="0"/>
        <w:spacing w:before="100" w:after="0" w:line="100" w:lineRule="atLeast"/>
        <w:jc w:val="both"/>
        <w:rPr>
          <w:rFonts w:eastAsia="Times New Roman" w:cstheme="minorHAnsi"/>
          <w:b/>
          <w:bCs/>
          <w:color w:val="000000"/>
          <w:lang w:eastAsia="zh-CN"/>
        </w:rPr>
      </w:pPr>
      <w:r w:rsidRPr="00D1586A">
        <w:rPr>
          <w:rFonts w:eastAsia="Times New Roman" w:cstheme="minorHAnsi"/>
          <w:b/>
          <w:bCs/>
          <w:color w:val="000000"/>
          <w:lang w:eastAsia="zh-CN"/>
        </w:rPr>
        <w:t>PRESA D’ATTO DEL PIANO TRIENNALE DI PREVENZIONE DELLA CORRUZIONE</w:t>
      </w:r>
    </w:p>
    <w:p w14:paraId="6FBD5FBC" w14:textId="77777777" w:rsidR="004B26D5" w:rsidRPr="00D1586A" w:rsidRDefault="004B26D5" w:rsidP="004B26D5">
      <w:pPr>
        <w:suppressAutoHyphens/>
        <w:autoSpaceDE w:val="0"/>
        <w:spacing w:before="100" w:after="0" w:line="100" w:lineRule="atLeast"/>
        <w:jc w:val="both"/>
        <w:rPr>
          <w:rFonts w:eastAsia="Times New Roman" w:cstheme="minorHAnsi"/>
          <w:color w:val="000000"/>
          <w:lang w:eastAsia="zh-CN"/>
        </w:rPr>
      </w:pPr>
      <w:r w:rsidRPr="00D1586A">
        <w:rPr>
          <w:rFonts w:eastAsia="Times New Roman" w:cstheme="minorHAnsi"/>
          <w:color w:val="000000"/>
          <w:lang w:eastAsia="zh-CN"/>
        </w:rPr>
        <w:t>Il RPCT si impegna a prevedere forme di presa d’atto, da parte dei dipendenti, del piano triennale di prevenzione della corruzione sia al momento dell’assunzione sia, per quelli in Ufficio, con cadenza periodica.</w:t>
      </w:r>
    </w:p>
    <w:p w14:paraId="4F0E963F" w14:textId="77777777" w:rsidR="004B26D5" w:rsidRPr="00D1586A" w:rsidRDefault="004B26D5" w:rsidP="004B26D5">
      <w:pPr>
        <w:suppressAutoHyphens/>
        <w:autoSpaceDE w:val="0"/>
        <w:spacing w:before="100" w:after="0" w:line="100" w:lineRule="atLeast"/>
        <w:jc w:val="both"/>
        <w:rPr>
          <w:rFonts w:eastAsia="Times New Roman" w:cstheme="minorHAnsi"/>
          <w:color w:val="000000"/>
          <w:lang w:eastAsia="zh-CN"/>
        </w:rPr>
      </w:pPr>
    </w:p>
    <w:p w14:paraId="7DA6DEE7" w14:textId="25AA6102" w:rsidR="004B26D5" w:rsidRPr="00D1586A" w:rsidRDefault="004B26D5" w:rsidP="004B26D5">
      <w:pPr>
        <w:keepNext/>
        <w:numPr>
          <w:ilvl w:val="1"/>
          <w:numId w:val="0"/>
        </w:numPr>
        <w:suppressAutoHyphens/>
        <w:spacing w:before="240" w:after="60"/>
        <w:outlineLvl w:val="1"/>
        <w:rPr>
          <w:rFonts w:eastAsia="Times New Roman" w:cstheme="minorHAnsi"/>
          <w:b/>
          <w:i/>
          <w:lang w:eastAsia="zh-CN"/>
        </w:rPr>
      </w:pPr>
      <w:bookmarkStart w:id="4" w:name="__RefHeading___Toc1980_761212699"/>
      <w:bookmarkEnd w:id="4"/>
      <w:r w:rsidRPr="00D1586A">
        <w:rPr>
          <w:rFonts w:eastAsia="Times New Roman" w:cstheme="minorHAnsi"/>
          <w:b/>
          <w:lang w:eastAsia="zh-CN"/>
        </w:rPr>
        <w:t>COINVOLGIMENTO DEGLI STAKEHOLDER</w:t>
      </w:r>
      <w:r w:rsidR="00DC6D19">
        <w:rPr>
          <w:rFonts w:eastAsia="Times New Roman" w:cstheme="minorHAnsi"/>
          <w:b/>
          <w:lang w:eastAsia="zh-CN"/>
        </w:rPr>
        <w:t>S</w:t>
      </w:r>
      <w:r w:rsidRPr="00D1586A">
        <w:rPr>
          <w:rFonts w:eastAsia="Times New Roman" w:cstheme="minorHAnsi"/>
          <w:b/>
          <w:lang w:eastAsia="zh-CN"/>
        </w:rPr>
        <w:t>: ASCOLTO E DIALOGO CON IL TERRITORIO</w:t>
      </w:r>
    </w:p>
    <w:p w14:paraId="05C232F7" w14:textId="2508A065" w:rsidR="004B26D5" w:rsidRPr="00D1586A" w:rsidRDefault="004B26D5" w:rsidP="004B26D5">
      <w:pPr>
        <w:suppressAutoHyphens/>
        <w:autoSpaceDE w:val="0"/>
        <w:spacing w:before="100" w:after="0" w:line="100" w:lineRule="atLeast"/>
        <w:jc w:val="both"/>
        <w:rPr>
          <w:rFonts w:eastAsia="Times New Roman" w:cstheme="minorHAnsi"/>
          <w:color w:val="000000"/>
          <w:lang w:eastAsia="zh-CN"/>
        </w:rPr>
      </w:pPr>
      <w:r w:rsidRPr="00D1586A">
        <w:rPr>
          <w:rFonts w:eastAsia="Times New Roman" w:cstheme="minorHAnsi"/>
          <w:color w:val="000000"/>
          <w:lang w:eastAsia="zh-CN"/>
        </w:rPr>
        <w:t>Si intende coinvolgere gli stakeholder</w:t>
      </w:r>
      <w:r w:rsidR="00DC6D19">
        <w:rPr>
          <w:rFonts w:eastAsia="Times New Roman" w:cstheme="minorHAnsi"/>
          <w:color w:val="000000"/>
          <w:lang w:eastAsia="zh-CN"/>
        </w:rPr>
        <w:t>s</w:t>
      </w:r>
      <w:r w:rsidRPr="00D1586A">
        <w:rPr>
          <w:rFonts w:eastAsia="Times New Roman" w:cstheme="minorHAnsi"/>
          <w:color w:val="000000"/>
          <w:lang w:eastAsia="zh-CN"/>
        </w:rPr>
        <w:t xml:space="preserve"> attraverso la pubblicazione sul sito web istituzionale di apposito avviso per le eventuali osservazioni/opposizioni al Piano da ultimo approvato con </w:t>
      </w:r>
      <w:r w:rsidR="00DC6D19">
        <w:rPr>
          <w:rFonts w:eastAsia="Times New Roman" w:cstheme="minorHAnsi"/>
          <w:color w:val="000000"/>
          <w:lang w:eastAsia="zh-CN"/>
        </w:rPr>
        <w:t>deliberazione giuntale</w:t>
      </w:r>
      <w:r w:rsidRPr="00D1586A">
        <w:rPr>
          <w:rFonts w:eastAsia="Times New Roman" w:cstheme="minorHAnsi"/>
          <w:color w:val="000000"/>
          <w:lang w:eastAsia="zh-CN"/>
        </w:rPr>
        <w:t>, ai fini dell’aggiornamento del Piano.</w:t>
      </w:r>
    </w:p>
    <w:p w14:paraId="0629E8B4" w14:textId="52476F8F" w:rsidR="004B26D5" w:rsidRPr="00D1586A" w:rsidRDefault="004B26D5" w:rsidP="004B26D5">
      <w:pPr>
        <w:suppressAutoHyphens/>
        <w:spacing w:before="100" w:after="0" w:line="100" w:lineRule="atLeast"/>
        <w:jc w:val="both"/>
        <w:rPr>
          <w:rFonts w:eastAsia="Times New Roman" w:cstheme="minorHAnsi"/>
          <w:lang w:eastAsia="zh-CN"/>
        </w:rPr>
      </w:pPr>
      <w:r w:rsidRPr="00D1586A">
        <w:rPr>
          <w:rFonts w:eastAsia="Times New Roman" w:cstheme="minorHAnsi"/>
          <w:lang w:eastAsia="zh-CN"/>
        </w:rPr>
        <w:t xml:space="preserve">Infine, per quanto concerne </w:t>
      </w:r>
      <w:r w:rsidRPr="00D1586A">
        <w:rPr>
          <w:rFonts w:eastAsia="Times New Roman" w:cstheme="minorHAnsi"/>
          <w:b/>
          <w:lang w:eastAsia="zh-CN"/>
        </w:rPr>
        <w:t>l’aspetto formativo</w:t>
      </w:r>
      <w:r w:rsidRPr="00D1586A">
        <w:rPr>
          <w:rFonts w:eastAsia="Times New Roman" w:cstheme="minorHAnsi"/>
          <w:lang w:eastAsia="zh-CN"/>
        </w:rPr>
        <w:t xml:space="preserve"> – essenziale per il mantenimento e lo sviluppo del Piano nel tempo, si ribadisce come - in linea con la Convenzione delle Nazioni unite contro la corruzione, adottata dall’Assemblea generale dell’O.N.U. il 31 ottobre 2003</w:t>
      </w:r>
      <w:r w:rsidR="00DC6D19">
        <w:rPr>
          <w:rFonts w:eastAsia="Times New Roman" w:cstheme="minorHAnsi"/>
          <w:lang w:eastAsia="zh-CN"/>
        </w:rPr>
        <w:t xml:space="preserve"> -</w:t>
      </w:r>
      <w:r w:rsidRPr="00D1586A">
        <w:rPr>
          <w:rFonts w:eastAsia="Times New Roman" w:cstheme="minorHAnsi"/>
          <w:lang w:eastAsia="zh-CN"/>
        </w:rPr>
        <w:t xml:space="preserve"> la L. 190/2012 attribuisce particolare importanza alla formazione del personale addetto alle aree a più elevato rischio, per cui è prevista, in occasione della predisposizione del Piano della formazione, particolare attenzione alle tematiche della trasparenza e della integrità, sia dal punto di vista della conoscenza della normativa e degli strumenti previsti nel Piano che dal punto di vista valoriale, in modo da accrescere sempre più lo sviluppo del senso etico.</w:t>
      </w:r>
    </w:p>
    <w:p w14:paraId="10D0F2FF" w14:textId="77777777" w:rsidR="004B26D5" w:rsidRPr="00D1586A" w:rsidRDefault="004B26D5" w:rsidP="004B26D5">
      <w:pPr>
        <w:suppressAutoHyphens/>
        <w:spacing w:before="100" w:after="0" w:line="100" w:lineRule="atLeast"/>
        <w:jc w:val="both"/>
        <w:rPr>
          <w:rFonts w:eastAsia="Times New Roman" w:cstheme="minorHAnsi"/>
          <w:lang w:eastAsia="zh-CN"/>
        </w:rPr>
      </w:pPr>
    </w:p>
    <w:p w14:paraId="3B06DD8E" w14:textId="0152BDC6" w:rsidR="004B26D5" w:rsidRPr="00D1586A" w:rsidRDefault="004B26D5" w:rsidP="004B26D5">
      <w:pPr>
        <w:keepNext/>
        <w:numPr>
          <w:ilvl w:val="1"/>
          <w:numId w:val="0"/>
        </w:numPr>
        <w:suppressAutoHyphens/>
        <w:spacing w:before="240" w:after="60"/>
        <w:outlineLvl w:val="1"/>
        <w:rPr>
          <w:rFonts w:eastAsia="Times New Roman" w:cstheme="minorHAnsi"/>
          <w:b/>
          <w:i/>
          <w:lang w:eastAsia="zh-CN"/>
        </w:rPr>
      </w:pPr>
      <w:bookmarkStart w:id="5" w:name="__RefHeading___Toc1982_761212699"/>
      <w:bookmarkEnd w:id="5"/>
      <w:r w:rsidRPr="00D1586A">
        <w:rPr>
          <w:rFonts w:eastAsia="Times New Roman" w:cstheme="minorHAnsi"/>
          <w:b/>
          <w:lang w:eastAsia="zh-CN"/>
        </w:rPr>
        <w:t>RISPETTO DELLA NORMATIVA SULLA SCELTA DEL CONTRAENTE</w:t>
      </w:r>
    </w:p>
    <w:p w14:paraId="116E5DEA" w14:textId="77777777" w:rsidR="004B26D5" w:rsidRPr="00D1586A" w:rsidRDefault="004B26D5" w:rsidP="004B26D5">
      <w:pPr>
        <w:suppressAutoHyphens/>
        <w:spacing w:before="100" w:after="0" w:line="100" w:lineRule="atLeast"/>
        <w:jc w:val="both"/>
        <w:rPr>
          <w:rFonts w:eastAsia="Times New Roman" w:cstheme="minorHAnsi"/>
          <w:lang w:eastAsia="zh-CN"/>
        </w:rPr>
      </w:pPr>
      <w:r w:rsidRPr="00D1586A">
        <w:rPr>
          <w:rFonts w:eastAsia="Times New Roman" w:cstheme="minorHAnsi"/>
          <w:lang w:eastAsia="zh-CN"/>
        </w:rPr>
        <w:t>In assenza di precedenti critici, l’impegno dell’amministrazione è concentrato sul rispetto puntuale della normativa di dettaglio e delle Linee guida espresse da ANAC, anche attraverso l’utilizzo della Centrale di committenza Provinciale e degli strumenti del mercato elettronico provinciale (MERCURIO – MEPAT) e nazionale (CONSIP – MEPA).</w:t>
      </w:r>
    </w:p>
    <w:p w14:paraId="52159EDE" w14:textId="77777777" w:rsidR="004B26D5" w:rsidRPr="00D1586A" w:rsidRDefault="004B26D5" w:rsidP="004B26D5">
      <w:pPr>
        <w:suppressAutoHyphens/>
        <w:spacing w:before="100" w:after="0" w:line="100" w:lineRule="atLeast"/>
        <w:jc w:val="both"/>
        <w:rPr>
          <w:rFonts w:eastAsia="Times New Roman" w:cstheme="minorHAnsi"/>
          <w:lang w:eastAsia="zh-CN"/>
        </w:rPr>
      </w:pPr>
    </w:p>
    <w:p w14:paraId="227C81B8" w14:textId="50867F2F" w:rsidR="004B26D5" w:rsidRPr="00D1586A" w:rsidRDefault="004B26D5" w:rsidP="004B26D5">
      <w:pPr>
        <w:keepNext/>
        <w:numPr>
          <w:ilvl w:val="1"/>
          <w:numId w:val="0"/>
        </w:numPr>
        <w:suppressAutoHyphens/>
        <w:spacing w:before="240" w:after="60"/>
        <w:outlineLvl w:val="1"/>
        <w:rPr>
          <w:rFonts w:eastAsia="Times New Roman" w:cstheme="minorHAnsi"/>
          <w:b/>
          <w:i/>
          <w:lang w:eastAsia="zh-CN"/>
        </w:rPr>
      </w:pPr>
      <w:bookmarkStart w:id="6" w:name="__RefHeading___Toc1984_761212699"/>
      <w:bookmarkEnd w:id="6"/>
      <w:r w:rsidRPr="00D1586A">
        <w:rPr>
          <w:rFonts w:eastAsia="Times New Roman" w:cstheme="minorHAnsi"/>
          <w:b/>
          <w:lang w:eastAsia="zh-CN"/>
        </w:rPr>
        <w:t>RISPETTO DELLA NORMATIVA SULLA PIANIFICAZIONE TERRITORIALE</w:t>
      </w:r>
    </w:p>
    <w:p w14:paraId="1D8925DF" w14:textId="198F964C" w:rsidR="004B26D5" w:rsidRPr="00D1586A" w:rsidRDefault="004B26D5" w:rsidP="004B26D5">
      <w:pPr>
        <w:suppressAutoHyphens/>
        <w:spacing w:before="100" w:after="0" w:line="100" w:lineRule="atLeast"/>
        <w:jc w:val="both"/>
        <w:rPr>
          <w:rFonts w:eastAsia="Times New Roman" w:cstheme="minorHAnsi"/>
          <w:lang w:eastAsia="zh-CN"/>
        </w:rPr>
      </w:pPr>
      <w:r w:rsidRPr="00D1586A">
        <w:rPr>
          <w:rFonts w:eastAsia="Times New Roman" w:cstheme="minorHAnsi"/>
          <w:lang w:eastAsia="zh-CN"/>
        </w:rPr>
        <w:t xml:space="preserve">In assenza di precedenti critici, l’impegno dell’amministrazione è concentrato sul rispetto puntuale della normativa di dettaglio, prevedendo apposite misure, nei limiti delle competenze assegnate in tale materia. </w:t>
      </w:r>
    </w:p>
    <w:p w14:paraId="0F1CBD31" w14:textId="77777777" w:rsidR="004B26D5" w:rsidRPr="00D1586A" w:rsidRDefault="004B26D5" w:rsidP="004B26D5">
      <w:pPr>
        <w:keepNext/>
        <w:suppressAutoHyphens/>
        <w:spacing w:before="240" w:after="60"/>
        <w:outlineLvl w:val="0"/>
        <w:rPr>
          <w:rFonts w:eastAsia="Times New Roman" w:cstheme="minorHAnsi"/>
          <w:b/>
          <w:lang w:eastAsia="zh-CN"/>
        </w:rPr>
      </w:pPr>
      <w:bookmarkStart w:id="7" w:name="__RefHeading___Toc1986_761212699"/>
      <w:bookmarkEnd w:id="7"/>
    </w:p>
    <w:p w14:paraId="5C92C2D0" w14:textId="2A84335B" w:rsidR="004B26D5" w:rsidRPr="00DC6D19" w:rsidRDefault="004B26D5" w:rsidP="004B26D5">
      <w:pPr>
        <w:keepNext/>
        <w:suppressAutoHyphens/>
        <w:spacing w:before="240" w:after="60"/>
        <w:outlineLvl w:val="0"/>
        <w:rPr>
          <w:rFonts w:eastAsia="Times New Roman" w:cstheme="minorHAnsi"/>
          <w:b/>
          <w:sz w:val="28"/>
          <w:szCs w:val="20"/>
          <w:lang w:eastAsia="zh-CN"/>
        </w:rPr>
      </w:pPr>
      <w:r w:rsidRPr="00DC6D19">
        <w:rPr>
          <w:rFonts w:eastAsia="Times New Roman" w:cstheme="minorHAnsi"/>
          <w:b/>
          <w:sz w:val="24"/>
          <w:szCs w:val="24"/>
          <w:lang w:eastAsia="zh-CN"/>
        </w:rPr>
        <w:t>IL SISTEMA DEI CONTROLLI E DELLE AZIONI PREVENTIVE PREVISTE</w:t>
      </w:r>
    </w:p>
    <w:p w14:paraId="05488061" w14:textId="56921AC4" w:rsidR="004B26D5" w:rsidRPr="00DC6D19" w:rsidRDefault="004B26D5" w:rsidP="004B26D5">
      <w:pPr>
        <w:suppressAutoHyphens/>
        <w:spacing w:before="100" w:after="0" w:line="100" w:lineRule="atLeast"/>
        <w:jc w:val="both"/>
        <w:rPr>
          <w:rFonts w:eastAsia="Times New Roman" w:cstheme="minorHAnsi"/>
          <w:lang w:eastAsia="zh-CN"/>
        </w:rPr>
      </w:pPr>
      <w:r w:rsidRPr="00DC6D19">
        <w:rPr>
          <w:rFonts w:eastAsia="Times New Roman" w:cstheme="minorHAnsi"/>
          <w:lang w:eastAsia="zh-CN"/>
        </w:rPr>
        <w:t xml:space="preserve">Si </w:t>
      </w:r>
      <w:r w:rsidR="00DC6D19" w:rsidRPr="00DC6D19">
        <w:rPr>
          <w:rFonts w:eastAsia="Times New Roman" w:cstheme="minorHAnsi"/>
          <w:lang w:eastAsia="zh-CN"/>
        </w:rPr>
        <w:t xml:space="preserve">sono </w:t>
      </w:r>
      <w:r w:rsidRPr="00DC6D19">
        <w:rPr>
          <w:rFonts w:eastAsia="Times New Roman" w:cstheme="minorHAnsi"/>
          <w:lang w:eastAsia="zh-CN"/>
        </w:rPr>
        <w:t>riporta</w:t>
      </w:r>
      <w:r w:rsidR="00DC6D19" w:rsidRPr="00DC6D19">
        <w:rPr>
          <w:rFonts w:eastAsia="Times New Roman" w:cstheme="minorHAnsi"/>
          <w:lang w:eastAsia="zh-CN"/>
        </w:rPr>
        <w:t>te</w:t>
      </w:r>
      <w:r w:rsidRPr="00DC6D19">
        <w:rPr>
          <w:rFonts w:eastAsia="Times New Roman" w:cstheme="minorHAnsi"/>
          <w:lang w:eastAsia="zh-CN"/>
        </w:rPr>
        <w:t xml:space="preserve"> </w:t>
      </w:r>
      <w:r w:rsidR="00DC6D19" w:rsidRPr="00DC6D19">
        <w:rPr>
          <w:rFonts w:eastAsia="Times New Roman" w:cstheme="minorHAnsi"/>
          <w:lang w:eastAsia="zh-CN"/>
        </w:rPr>
        <w:t>nel Piano</w:t>
      </w:r>
      <w:r w:rsidRPr="00DC6D19">
        <w:rPr>
          <w:rFonts w:eastAsia="Times New Roman" w:cstheme="minorHAnsi"/>
          <w:lang w:eastAsia="zh-CN"/>
        </w:rPr>
        <w:t xml:space="preserve">, organizzate a livello di </w:t>
      </w:r>
      <w:r w:rsidR="00DC6D19" w:rsidRPr="00DC6D19">
        <w:rPr>
          <w:rFonts w:eastAsia="Times New Roman" w:cstheme="minorHAnsi"/>
          <w:lang w:eastAsia="zh-CN"/>
        </w:rPr>
        <w:t>area</w:t>
      </w:r>
      <w:r w:rsidRPr="00DC6D19">
        <w:rPr>
          <w:rFonts w:eastAsia="Times New Roman" w:cstheme="minorHAnsi"/>
          <w:lang w:eastAsia="zh-CN"/>
        </w:rPr>
        <w:t xml:space="preserve">, le </w:t>
      </w:r>
      <w:r w:rsidR="00DC6D19" w:rsidRPr="00DC6D19">
        <w:rPr>
          <w:rFonts w:eastAsia="Times New Roman" w:cstheme="minorHAnsi"/>
          <w:lang w:eastAsia="zh-CN"/>
        </w:rPr>
        <w:t>misure</w:t>
      </w:r>
      <w:r w:rsidRPr="00DC6D19">
        <w:rPr>
          <w:rFonts w:eastAsia="Times New Roman" w:cstheme="minorHAnsi"/>
          <w:lang w:eastAsia="zh-CN"/>
        </w:rPr>
        <w:t xml:space="preserve"> contenenti le azioni preventive e i controlli attivati per ognuno dei processi per i quali si è stimato “medio” o “alto” l’indice di rischio o per i quali, sebbene l’indice di rischio sia stato stimato come “basso”, si è comunque ritenuto opportuno e utile predisporre e inserire nel Piano azioni di controllo preventivo.</w:t>
      </w:r>
    </w:p>
    <w:p w14:paraId="14E54340" w14:textId="77777777" w:rsidR="004B26D5" w:rsidRPr="00D1586A" w:rsidRDefault="004B26D5" w:rsidP="004B26D5">
      <w:pPr>
        <w:suppressAutoHyphens/>
        <w:spacing w:before="100" w:after="0" w:line="100" w:lineRule="atLeast"/>
        <w:jc w:val="both"/>
        <w:rPr>
          <w:rFonts w:eastAsia="Times New Roman" w:cstheme="minorHAnsi"/>
          <w:sz w:val="24"/>
          <w:szCs w:val="20"/>
          <w:lang w:eastAsia="zh-CN"/>
        </w:rPr>
      </w:pPr>
    </w:p>
    <w:p w14:paraId="3A51B296" w14:textId="34AA52C9" w:rsidR="004B26D5" w:rsidRPr="00D1586A" w:rsidRDefault="004B26D5" w:rsidP="004B26D5">
      <w:pPr>
        <w:keepNext/>
        <w:suppressAutoHyphens/>
        <w:spacing w:before="240" w:after="60"/>
        <w:outlineLvl w:val="0"/>
        <w:rPr>
          <w:rFonts w:eastAsia="Times New Roman" w:cstheme="minorHAnsi"/>
          <w:b/>
          <w:sz w:val="28"/>
          <w:szCs w:val="20"/>
          <w:lang w:eastAsia="zh-CN"/>
        </w:rPr>
      </w:pPr>
      <w:bookmarkStart w:id="8" w:name="__RefHeading___Toc1988_761212699"/>
      <w:bookmarkEnd w:id="8"/>
      <w:r w:rsidRPr="00D1586A">
        <w:rPr>
          <w:rFonts w:eastAsia="Times New Roman" w:cstheme="minorHAnsi"/>
          <w:b/>
          <w:sz w:val="24"/>
          <w:szCs w:val="24"/>
          <w:lang w:eastAsia="zh-CN"/>
        </w:rPr>
        <w:lastRenderedPageBreak/>
        <w:t>AGGIORNAMENTO DEL PIANO DI PREVENZIONE DELLA CORRUZIONE E DELLA TRASPARENZA</w:t>
      </w:r>
    </w:p>
    <w:p w14:paraId="6B3CF124" w14:textId="23483B15" w:rsidR="004B26D5" w:rsidRPr="00D1586A" w:rsidRDefault="004B26D5" w:rsidP="004B26D5">
      <w:pPr>
        <w:keepNext/>
        <w:numPr>
          <w:ilvl w:val="1"/>
          <w:numId w:val="0"/>
        </w:numPr>
        <w:suppressAutoHyphens/>
        <w:spacing w:before="240" w:after="60"/>
        <w:outlineLvl w:val="1"/>
        <w:rPr>
          <w:rFonts w:eastAsia="Times New Roman" w:cstheme="minorHAnsi"/>
          <w:b/>
          <w:i/>
          <w:lang w:eastAsia="zh-CN"/>
        </w:rPr>
      </w:pPr>
      <w:bookmarkStart w:id="9" w:name="__RefHeading___Toc1990_761212699"/>
      <w:bookmarkEnd w:id="9"/>
      <w:r w:rsidRPr="00D1586A">
        <w:rPr>
          <w:rFonts w:eastAsia="Times New Roman" w:cstheme="minorHAnsi"/>
          <w:b/>
          <w:lang w:eastAsia="zh-CN"/>
        </w:rPr>
        <w:t>MODALIT</w:t>
      </w:r>
      <w:r w:rsidR="00D802C9" w:rsidRPr="00D1586A">
        <w:rPr>
          <w:rFonts w:eastAsia="Times New Roman" w:cstheme="minorHAnsi"/>
          <w:b/>
          <w:lang w:eastAsia="zh-CN"/>
        </w:rPr>
        <w:t>À</w:t>
      </w:r>
      <w:r w:rsidRPr="00D1586A">
        <w:rPr>
          <w:rFonts w:eastAsia="Times New Roman" w:cstheme="minorHAnsi"/>
          <w:b/>
          <w:lang w:eastAsia="zh-CN"/>
        </w:rPr>
        <w:t xml:space="preserve"> DI AGGIORNAMENTO</w:t>
      </w:r>
    </w:p>
    <w:p w14:paraId="1BFBEB51" w14:textId="77F5B2CC" w:rsidR="004B26D5" w:rsidRPr="00D1586A" w:rsidRDefault="004B26D5" w:rsidP="004B26D5">
      <w:pPr>
        <w:suppressAutoHyphens/>
        <w:spacing w:before="100" w:after="0" w:line="100" w:lineRule="atLeast"/>
        <w:jc w:val="both"/>
        <w:rPr>
          <w:rFonts w:eastAsia="Times New Roman" w:cstheme="minorHAnsi"/>
          <w:lang w:eastAsia="zh-CN"/>
        </w:rPr>
      </w:pPr>
      <w:r w:rsidRPr="00D1586A">
        <w:rPr>
          <w:rFonts w:eastAsia="Times New Roman" w:cstheme="minorHAnsi"/>
          <w:lang w:eastAsia="zh-CN"/>
        </w:rPr>
        <w:t xml:space="preserve">Fermo restando il necessario adeguamento e allineamento del presente documento all’emanando Piano Nazionale Anticorruzione, esso rientra tra i piani e i programmi </w:t>
      </w:r>
      <w:r w:rsidR="00DC6D19">
        <w:rPr>
          <w:rFonts w:eastAsia="Times New Roman" w:cstheme="minorHAnsi"/>
          <w:lang w:eastAsia="zh-CN"/>
        </w:rPr>
        <w:t>g</w:t>
      </w:r>
      <w:r w:rsidRPr="00D1586A">
        <w:rPr>
          <w:rFonts w:eastAsia="Times New Roman" w:cstheme="minorHAnsi"/>
          <w:lang w:eastAsia="zh-CN"/>
        </w:rPr>
        <w:t>estionali. Le modalità di aggiornamento saranno pertanto analoghe a quelle previste per l’aggiornamento di tali piani e programmi, e dar</w:t>
      </w:r>
      <w:r w:rsidR="00DC6D19">
        <w:rPr>
          <w:rFonts w:eastAsia="Times New Roman" w:cstheme="minorHAnsi"/>
          <w:lang w:eastAsia="zh-CN"/>
        </w:rPr>
        <w:t>anno</w:t>
      </w:r>
      <w:r w:rsidRPr="00D1586A">
        <w:rPr>
          <w:rFonts w:eastAsia="Times New Roman" w:cstheme="minorHAnsi"/>
          <w:lang w:eastAsia="zh-CN"/>
        </w:rPr>
        <w:t xml:space="preserve"> atto del grado di raggiungimento degli obiettivi dichiarati secondo gli indicatori ivi previsti.</w:t>
      </w:r>
    </w:p>
    <w:p w14:paraId="2A7F3202" w14:textId="77777777" w:rsidR="004B26D5" w:rsidRPr="00D1586A" w:rsidRDefault="004B26D5" w:rsidP="004B26D5">
      <w:pPr>
        <w:suppressAutoHyphens/>
        <w:spacing w:before="100" w:after="0" w:line="100" w:lineRule="atLeast"/>
        <w:jc w:val="both"/>
        <w:rPr>
          <w:rFonts w:eastAsia="Times New Roman" w:cstheme="minorHAnsi"/>
          <w:lang w:eastAsia="zh-CN"/>
        </w:rPr>
      </w:pPr>
    </w:p>
    <w:p w14:paraId="6CAE3750" w14:textId="0962822B" w:rsidR="004B26D5" w:rsidRPr="00D1586A" w:rsidRDefault="004B26D5" w:rsidP="004B26D5">
      <w:pPr>
        <w:keepNext/>
        <w:numPr>
          <w:ilvl w:val="1"/>
          <w:numId w:val="0"/>
        </w:numPr>
        <w:suppressAutoHyphens/>
        <w:spacing w:before="240" w:after="60"/>
        <w:outlineLvl w:val="1"/>
        <w:rPr>
          <w:rFonts w:eastAsia="Times New Roman" w:cstheme="minorHAnsi"/>
          <w:b/>
          <w:i/>
          <w:lang w:eastAsia="zh-CN"/>
        </w:rPr>
      </w:pPr>
      <w:bookmarkStart w:id="10" w:name="__RefHeading___Toc1992_761212699"/>
      <w:bookmarkEnd w:id="10"/>
      <w:r w:rsidRPr="00D1586A">
        <w:rPr>
          <w:rFonts w:eastAsia="Times New Roman" w:cstheme="minorHAnsi"/>
          <w:b/>
          <w:lang w:eastAsia="zh-CN"/>
        </w:rPr>
        <w:t>CADENZA TEMPORALE DI AGGIORNAMENTO</w:t>
      </w:r>
    </w:p>
    <w:p w14:paraId="728CE7ED" w14:textId="14E78DD1" w:rsidR="004B26D5" w:rsidRPr="00D1586A" w:rsidRDefault="00DC6D19" w:rsidP="004B26D5">
      <w:pPr>
        <w:suppressAutoHyphens/>
        <w:spacing w:before="100" w:after="0" w:line="100" w:lineRule="atLeast"/>
        <w:jc w:val="both"/>
        <w:rPr>
          <w:rFonts w:eastAsia="Times New Roman" w:cstheme="minorHAnsi"/>
          <w:lang w:eastAsia="zh-CN"/>
        </w:rPr>
      </w:pPr>
      <w:r>
        <w:rPr>
          <w:rFonts w:eastAsia="Times New Roman" w:cstheme="minorHAnsi"/>
          <w:lang w:eastAsia="zh-CN"/>
        </w:rPr>
        <w:t>Ferma la sua valenza triennale, i</w:t>
      </w:r>
      <w:bookmarkStart w:id="11" w:name="_GoBack"/>
      <w:bookmarkEnd w:id="11"/>
      <w:r w:rsidR="004B26D5" w:rsidRPr="00D1586A">
        <w:rPr>
          <w:rFonts w:eastAsia="Times New Roman" w:cstheme="minorHAnsi"/>
          <w:lang w:eastAsia="zh-CN"/>
        </w:rPr>
        <w:t xml:space="preserve"> contenuti del Piano, così come le priorità d’intervento e la mappatura e pesatura dei rischi per l’integrità costituiscono aggiornamento del Piano Triennale 20</w:t>
      </w:r>
      <w:r w:rsidR="00800ECB" w:rsidRPr="00D1586A">
        <w:rPr>
          <w:rFonts w:eastAsia="Times New Roman" w:cstheme="minorHAnsi"/>
          <w:lang w:eastAsia="zh-CN"/>
        </w:rPr>
        <w:t>18</w:t>
      </w:r>
      <w:r w:rsidR="004B26D5" w:rsidRPr="00D1586A">
        <w:rPr>
          <w:rFonts w:eastAsia="Times New Roman" w:cstheme="minorHAnsi"/>
          <w:lang w:eastAsia="zh-CN"/>
        </w:rPr>
        <w:t>-20</w:t>
      </w:r>
      <w:r w:rsidR="00800ECB" w:rsidRPr="00D1586A">
        <w:rPr>
          <w:rFonts w:eastAsia="Times New Roman" w:cstheme="minorHAnsi"/>
          <w:lang w:eastAsia="zh-CN"/>
        </w:rPr>
        <w:t>20</w:t>
      </w:r>
      <w:r w:rsidR="004B26D5" w:rsidRPr="00D1586A">
        <w:rPr>
          <w:rFonts w:eastAsia="Times New Roman" w:cstheme="minorHAnsi"/>
          <w:lang w:eastAsia="zh-CN"/>
        </w:rPr>
        <w:t xml:space="preserve">, saranno </w:t>
      </w:r>
      <w:r>
        <w:rPr>
          <w:rFonts w:eastAsia="Times New Roman" w:cstheme="minorHAnsi"/>
          <w:lang w:eastAsia="zh-CN"/>
        </w:rPr>
        <w:t xml:space="preserve">eventualmente </w:t>
      </w:r>
      <w:r w:rsidR="004B26D5" w:rsidRPr="00D1586A">
        <w:rPr>
          <w:rFonts w:eastAsia="Times New Roman" w:cstheme="minorHAnsi"/>
          <w:lang w:eastAsia="zh-CN"/>
        </w:rPr>
        <w:t>oggetto di aggiornamento annuale, o se necessario, in corso d’anno, anche in relazione ad eventuali adeguamenti a disposizioni normative e/o a riorganizzazione di processi e/o funzioni.</w:t>
      </w:r>
    </w:p>
    <w:p w14:paraId="65FCA6AD" w14:textId="77777777" w:rsidR="004B26D5" w:rsidRPr="00D1586A" w:rsidRDefault="004B26D5" w:rsidP="00537BC7">
      <w:pPr>
        <w:suppressAutoHyphens/>
        <w:spacing w:before="100" w:after="0" w:line="100" w:lineRule="atLeast"/>
        <w:jc w:val="both"/>
        <w:rPr>
          <w:rFonts w:eastAsia="Times New Roman" w:cstheme="minorHAnsi"/>
          <w:lang w:eastAsia="zh-CN"/>
        </w:rPr>
      </w:pPr>
    </w:p>
    <w:p w14:paraId="608B7D43" w14:textId="77777777" w:rsidR="008C0B16" w:rsidRPr="00D1586A" w:rsidRDefault="008C0B16" w:rsidP="00537BC7">
      <w:pPr>
        <w:suppressAutoHyphens/>
        <w:spacing w:before="100" w:after="0" w:line="100" w:lineRule="atLeast"/>
        <w:jc w:val="both"/>
        <w:rPr>
          <w:rFonts w:eastAsia="Times New Roman" w:cstheme="minorHAnsi"/>
          <w:lang w:eastAsia="zh-CN"/>
        </w:rPr>
      </w:pPr>
    </w:p>
    <w:p w14:paraId="658BDE0D" w14:textId="77777777" w:rsidR="008C0B16" w:rsidRPr="00D1586A" w:rsidRDefault="008C0B16" w:rsidP="00537BC7">
      <w:pPr>
        <w:suppressAutoHyphens/>
        <w:spacing w:before="100" w:after="0" w:line="100" w:lineRule="atLeast"/>
        <w:jc w:val="both"/>
        <w:rPr>
          <w:rFonts w:eastAsia="Times New Roman" w:cstheme="minorHAnsi"/>
          <w:lang w:eastAsia="zh-CN"/>
        </w:rPr>
      </w:pPr>
    </w:p>
    <w:p w14:paraId="44EBA8AB" w14:textId="77777777" w:rsidR="008C0B16" w:rsidRPr="00D1586A" w:rsidRDefault="008C0B16" w:rsidP="00537BC7">
      <w:pPr>
        <w:suppressAutoHyphens/>
        <w:spacing w:before="100" w:after="0" w:line="100" w:lineRule="atLeast"/>
        <w:jc w:val="both"/>
        <w:rPr>
          <w:rFonts w:eastAsia="Times New Roman" w:cstheme="minorHAnsi"/>
          <w:lang w:eastAsia="zh-CN"/>
        </w:rPr>
      </w:pPr>
    </w:p>
    <w:p w14:paraId="2019360E" w14:textId="77777777" w:rsidR="008C0B16" w:rsidRPr="00D1586A" w:rsidRDefault="008C0B16" w:rsidP="00537BC7">
      <w:pPr>
        <w:suppressAutoHyphens/>
        <w:spacing w:before="100" w:after="0" w:line="100" w:lineRule="atLeast"/>
        <w:jc w:val="both"/>
        <w:rPr>
          <w:rFonts w:eastAsia="Times New Roman" w:cstheme="minorHAnsi"/>
          <w:lang w:eastAsia="zh-CN"/>
        </w:rPr>
      </w:pPr>
    </w:p>
    <w:p w14:paraId="40A137E0" w14:textId="77777777" w:rsidR="008C0B16" w:rsidRPr="00D1586A" w:rsidRDefault="008C0B16" w:rsidP="00537BC7">
      <w:pPr>
        <w:suppressAutoHyphens/>
        <w:spacing w:before="100" w:after="0" w:line="100" w:lineRule="atLeast"/>
        <w:jc w:val="both"/>
        <w:rPr>
          <w:rFonts w:eastAsia="Times New Roman" w:cstheme="minorHAnsi"/>
          <w:lang w:eastAsia="zh-CN"/>
        </w:rPr>
      </w:pPr>
    </w:p>
    <w:p w14:paraId="2C2B72D9" w14:textId="77777777" w:rsidR="008C0B16" w:rsidRPr="00D1586A" w:rsidRDefault="008C0B16" w:rsidP="00537BC7">
      <w:pPr>
        <w:suppressAutoHyphens/>
        <w:spacing w:before="100" w:after="0" w:line="100" w:lineRule="atLeast"/>
        <w:jc w:val="both"/>
        <w:rPr>
          <w:rFonts w:eastAsia="Times New Roman" w:cstheme="minorHAnsi"/>
          <w:lang w:eastAsia="zh-CN"/>
        </w:rPr>
      </w:pPr>
    </w:p>
    <w:p w14:paraId="018991F3" w14:textId="77777777" w:rsidR="008C0B16" w:rsidRPr="00D1586A" w:rsidRDefault="008C0B16" w:rsidP="00537BC7">
      <w:pPr>
        <w:suppressAutoHyphens/>
        <w:spacing w:before="100" w:after="0" w:line="100" w:lineRule="atLeast"/>
        <w:jc w:val="both"/>
        <w:rPr>
          <w:rFonts w:eastAsia="Times New Roman" w:cstheme="minorHAnsi"/>
          <w:lang w:eastAsia="zh-CN"/>
        </w:rPr>
      </w:pPr>
    </w:p>
    <w:p w14:paraId="3C5BE8E5" w14:textId="77777777" w:rsidR="008C0B16" w:rsidRPr="00D1586A" w:rsidRDefault="008C0B16" w:rsidP="00537BC7">
      <w:pPr>
        <w:suppressAutoHyphens/>
        <w:spacing w:before="100" w:after="0" w:line="100" w:lineRule="atLeast"/>
        <w:jc w:val="both"/>
        <w:rPr>
          <w:rFonts w:eastAsia="Times New Roman" w:cstheme="minorHAnsi"/>
          <w:lang w:eastAsia="zh-CN"/>
        </w:rPr>
      </w:pPr>
    </w:p>
    <w:p w14:paraId="5397A95F" w14:textId="77777777" w:rsidR="008C0B16" w:rsidRDefault="008C0B16" w:rsidP="00537BC7">
      <w:pPr>
        <w:suppressAutoHyphens/>
        <w:spacing w:before="100" w:after="0" w:line="100" w:lineRule="atLeast"/>
        <w:jc w:val="both"/>
        <w:rPr>
          <w:rFonts w:ascii="Times New Roman" w:eastAsia="Times New Roman" w:hAnsi="Times New Roman"/>
          <w:lang w:eastAsia="zh-CN"/>
        </w:rPr>
      </w:pPr>
    </w:p>
    <w:p w14:paraId="28EE8A4D" w14:textId="77777777" w:rsidR="008C0B16" w:rsidRDefault="008C0B16" w:rsidP="00537BC7">
      <w:pPr>
        <w:suppressAutoHyphens/>
        <w:spacing w:before="100" w:after="0" w:line="100" w:lineRule="atLeast"/>
        <w:jc w:val="both"/>
        <w:rPr>
          <w:rFonts w:ascii="Times New Roman" w:eastAsia="Times New Roman" w:hAnsi="Times New Roman"/>
          <w:lang w:eastAsia="zh-CN"/>
        </w:rPr>
      </w:pPr>
    </w:p>
    <w:p w14:paraId="455F5FD3" w14:textId="77777777" w:rsidR="008C0B16" w:rsidRDefault="008C0B16" w:rsidP="00537BC7">
      <w:pPr>
        <w:suppressAutoHyphens/>
        <w:spacing w:before="100" w:after="0" w:line="100" w:lineRule="atLeast"/>
        <w:jc w:val="both"/>
        <w:rPr>
          <w:rFonts w:ascii="Times New Roman" w:eastAsia="Times New Roman" w:hAnsi="Times New Roman"/>
          <w:lang w:eastAsia="zh-CN"/>
        </w:rPr>
      </w:pPr>
    </w:p>
    <w:p w14:paraId="53CBBD16" w14:textId="77777777" w:rsidR="008C0B16" w:rsidRDefault="008C0B16" w:rsidP="00537BC7">
      <w:pPr>
        <w:suppressAutoHyphens/>
        <w:spacing w:before="100" w:after="0" w:line="100" w:lineRule="atLeast"/>
        <w:jc w:val="both"/>
        <w:rPr>
          <w:rFonts w:ascii="Times New Roman" w:eastAsia="Times New Roman" w:hAnsi="Times New Roman"/>
          <w:lang w:eastAsia="zh-CN"/>
        </w:rPr>
      </w:pPr>
    </w:p>
    <w:p w14:paraId="0EB50B4B" w14:textId="77777777" w:rsidR="008C0B16" w:rsidRDefault="008C0B16" w:rsidP="00537BC7">
      <w:pPr>
        <w:suppressAutoHyphens/>
        <w:spacing w:before="100" w:after="0" w:line="100" w:lineRule="atLeast"/>
        <w:jc w:val="both"/>
        <w:rPr>
          <w:rFonts w:ascii="Times New Roman" w:eastAsia="Times New Roman" w:hAnsi="Times New Roman"/>
          <w:lang w:eastAsia="zh-CN"/>
        </w:rPr>
      </w:pPr>
    </w:p>
    <w:p w14:paraId="6DDE79EC" w14:textId="77777777" w:rsidR="008C0B16" w:rsidRDefault="008C0B16" w:rsidP="00537BC7">
      <w:pPr>
        <w:suppressAutoHyphens/>
        <w:spacing w:before="100" w:after="0" w:line="100" w:lineRule="atLeast"/>
        <w:jc w:val="both"/>
        <w:rPr>
          <w:rFonts w:ascii="Times New Roman" w:eastAsia="Times New Roman" w:hAnsi="Times New Roman"/>
          <w:lang w:eastAsia="zh-CN"/>
        </w:rPr>
      </w:pPr>
    </w:p>
    <w:p w14:paraId="744A8AA8" w14:textId="77777777" w:rsidR="008C0B16" w:rsidRDefault="008C0B16" w:rsidP="00537BC7">
      <w:pPr>
        <w:suppressAutoHyphens/>
        <w:spacing w:before="100" w:after="0" w:line="100" w:lineRule="atLeast"/>
        <w:jc w:val="both"/>
        <w:rPr>
          <w:rFonts w:ascii="Times New Roman" w:eastAsia="Times New Roman" w:hAnsi="Times New Roman"/>
          <w:lang w:eastAsia="zh-CN"/>
        </w:rPr>
      </w:pPr>
    </w:p>
    <w:p w14:paraId="6AFCD14E" w14:textId="77777777" w:rsidR="008C0B16" w:rsidRDefault="008C0B16" w:rsidP="00537BC7">
      <w:pPr>
        <w:suppressAutoHyphens/>
        <w:spacing w:before="100" w:after="0" w:line="100" w:lineRule="atLeast"/>
        <w:jc w:val="both"/>
        <w:rPr>
          <w:rFonts w:ascii="Times New Roman" w:eastAsia="Times New Roman" w:hAnsi="Times New Roman"/>
          <w:lang w:eastAsia="zh-CN"/>
        </w:rPr>
      </w:pPr>
    </w:p>
    <w:p w14:paraId="2E076282" w14:textId="77777777" w:rsidR="008C0B16" w:rsidRDefault="008C0B16" w:rsidP="00537BC7">
      <w:pPr>
        <w:suppressAutoHyphens/>
        <w:spacing w:before="100" w:after="0" w:line="100" w:lineRule="atLeast"/>
        <w:jc w:val="both"/>
        <w:rPr>
          <w:rFonts w:ascii="Times New Roman" w:eastAsia="Times New Roman" w:hAnsi="Times New Roman"/>
          <w:lang w:eastAsia="zh-CN"/>
        </w:rPr>
      </w:pPr>
    </w:p>
    <w:p w14:paraId="72B868B7" w14:textId="77777777" w:rsidR="008C0B16" w:rsidRDefault="008C0B16" w:rsidP="00537BC7">
      <w:pPr>
        <w:suppressAutoHyphens/>
        <w:spacing w:before="100" w:after="0" w:line="100" w:lineRule="atLeast"/>
        <w:jc w:val="both"/>
        <w:rPr>
          <w:rFonts w:ascii="Times New Roman" w:eastAsia="Times New Roman" w:hAnsi="Times New Roman"/>
          <w:lang w:eastAsia="zh-CN"/>
        </w:rPr>
      </w:pPr>
    </w:p>
    <w:p w14:paraId="44FA9727" w14:textId="77777777" w:rsidR="008C0B16" w:rsidRDefault="008C0B16" w:rsidP="00537BC7">
      <w:pPr>
        <w:suppressAutoHyphens/>
        <w:spacing w:before="100" w:after="0" w:line="100" w:lineRule="atLeast"/>
        <w:jc w:val="both"/>
        <w:rPr>
          <w:rFonts w:ascii="Times New Roman" w:eastAsia="Times New Roman" w:hAnsi="Times New Roman"/>
          <w:lang w:eastAsia="zh-CN"/>
        </w:rPr>
      </w:pPr>
    </w:p>
    <w:p w14:paraId="3AEF4C59" w14:textId="77777777" w:rsidR="00C650AC" w:rsidRPr="002F2714" w:rsidRDefault="00C650AC" w:rsidP="00720A2E">
      <w:pPr>
        <w:suppressAutoHyphens/>
        <w:snapToGrid w:val="0"/>
        <w:spacing w:before="100" w:after="0" w:line="100" w:lineRule="atLeast"/>
        <w:jc w:val="both"/>
        <w:rPr>
          <w:rFonts w:ascii="Times New Roman" w:eastAsia="Times New Roman" w:hAnsi="Times New Roman"/>
          <w:highlight w:val="green"/>
          <w:lang w:eastAsia="zh-CN"/>
        </w:rPr>
      </w:pPr>
    </w:p>
    <w:p w14:paraId="2512B3E1" w14:textId="77777777" w:rsidR="00720A2E" w:rsidRDefault="00720A2E" w:rsidP="00720A2E">
      <w:pPr>
        <w:suppressAutoHyphens/>
        <w:spacing w:before="100" w:after="0" w:line="100" w:lineRule="atLeast"/>
        <w:jc w:val="both"/>
        <w:rPr>
          <w:rFonts w:ascii="Times New Roman" w:hAnsi="Times New Roman"/>
        </w:rPr>
      </w:pPr>
    </w:p>
    <w:p w14:paraId="60BB53DE" w14:textId="39C778D8" w:rsidR="00BB2909" w:rsidRDefault="00BB2909" w:rsidP="00BB2909">
      <w:pPr>
        <w:suppressAutoHyphens/>
        <w:spacing w:before="100" w:after="0" w:line="100" w:lineRule="atLeast"/>
        <w:jc w:val="both"/>
        <w:rPr>
          <w:rFonts w:ascii="Times New Roman" w:hAnsi="Times New Roman"/>
          <w:highlight w:val="yellow"/>
        </w:rPr>
      </w:pPr>
    </w:p>
    <w:p w14:paraId="69DA2FBE" w14:textId="7266737F" w:rsidR="00BB2909" w:rsidRDefault="00BB2909" w:rsidP="00BB2909">
      <w:pPr>
        <w:suppressAutoHyphens/>
        <w:spacing w:before="100" w:after="0" w:line="100" w:lineRule="atLeast"/>
        <w:jc w:val="both"/>
        <w:rPr>
          <w:rFonts w:ascii="Times New Roman" w:hAnsi="Times New Roman"/>
          <w:highlight w:val="yellow"/>
        </w:rPr>
      </w:pPr>
    </w:p>
    <w:sectPr w:rsidR="00BB2909">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38406" w14:textId="77777777" w:rsidR="0008002A" w:rsidRDefault="0008002A" w:rsidP="00981016">
      <w:pPr>
        <w:spacing w:after="0" w:line="240" w:lineRule="auto"/>
      </w:pPr>
      <w:r>
        <w:separator/>
      </w:r>
    </w:p>
  </w:endnote>
  <w:endnote w:type="continuationSeparator" w:id="0">
    <w:p w14:paraId="03FF6DEF" w14:textId="77777777" w:rsidR="0008002A" w:rsidRDefault="0008002A" w:rsidP="0098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Arial"/>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603304"/>
      <w:docPartObj>
        <w:docPartGallery w:val="Page Numbers (Bottom of Page)"/>
        <w:docPartUnique/>
      </w:docPartObj>
    </w:sdtPr>
    <w:sdtContent>
      <w:p w14:paraId="0EC68908" w14:textId="7DB36B3F" w:rsidR="0008002A" w:rsidRDefault="0008002A">
        <w:pPr>
          <w:pStyle w:val="Pidipagina"/>
          <w:jc w:val="right"/>
        </w:pPr>
        <w:r>
          <w:fldChar w:fldCharType="begin"/>
        </w:r>
        <w:r>
          <w:instrText>PAGE   \* MERGEFORMAT</w:instrText>
        </w:r>
        <w:r>
          <w:fldChar w:fldCharType="separate"/>
        </w:r>
        <w:r>
          <w:t>2</w:t>
        </w:r>
        <w:r>
          <w:fldChar w:fldCharType="end"/>
        </w:r>
      </w:p>
    </w:sdtContent>
  </w:sdt>
  <w:p w14:paraId="1CB6D515" w14:textId="77777777" w:rsidR="0008002A" w:rsidRDefault="000800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E1010" w14:textId="77777777" w:rsidR="0008002A" w:rsidRDefault="0008002A" w:rsidP="00981016">
      <w:pPr>
        <w:spacing w:after="0" w:line="240" w:lineRule="auto"/>
      </w:pPr>
      <w:r>
        <w:separator/>
      </w:r>
    </w:p>
  </w:footnote>
  <w:footnote w:type="continuationSeparator" w:id="0">
    <w:p w14:paraId="122F5FCD" w14:textId="77777777" w:rsidR="0008002A" w:rsidRDefault="0008002A" w:rsidP="00981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BB1"/>
    <w:multiLevelType w:val="multilevel"/>
    <w:tmpl w:val="5608C8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07E62957"/>
    <w:multiLevelType w:val="hybridMultilevel"/>
    <w:tmpl w:val="3134F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2E41F9"/>
    <w:multiLevelType w:val="hybridMultilevel"/>
    <w:tmpl w:val="FD1E1CB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E82195"/>
    <w:multiLevelType w:val="hybridMultilevel"/>
    <w:tmpl w:val="350447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530E7C"/>
    <w:multiLevelType w:val="hybridMultilevel"/>
    <w:tmpl w:val="B01CD3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0D18A5"/>
    <w:multiLevelType w:val="hybridMultilevel"/>
    <w:tmpl w:val="673AA554"/>
    <w:lvl w:ilvl="0" w:tplc="D1A661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756486"/>
    <w:multiLevelType w:val="multilevel"/>
    <w:tmpl w:val="83525DEE"/>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15:restartNumberingAfterBreak="0">
    <w:nsid w:val="40012A53"/>
    <w:multiLevelType w:val="multilevel"/>
    <w:tmpl w:val="ECD6965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9A195E"/>
    <w:multiLevelType w:val="hybridMultilevel"/>
    <w:tmpl w:val="DBE0A8A6"/>
    <w:lvl w:ilvl="0" w:tplc="764CB74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2903DF"/>
    <w:multiLevelType w:val="hybridMultilevel"/>
    <w:tmpl w:val="57F262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FEC63E8"/>
    <w:multiLevelType w:val="hybridMultilevel"/>
    <w:tmpl w:val="D03E65FC"/>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A3826D4"/>
    <w:multiLevelType w:val="multilevel"/>
    <w:tmpl w:val="7C8A5D38"/>
    <w:lvl w:ilvl="0">
      <w:start w:val="1"/>
      <w:numFmt w:val="bullet"/>
      <w:lvlText w:val=""/>
      <w:lvlJc w:val="left"/>
      <w:pPr>
        <w:ind w:left="720" w:hanging="360"/>
      </w:pPr>
      <w:rPr>
        <w:rFonts w:ascii="Symbol" w:hAnsi="Symbol" w:cs="Symbol" w:hint="default"/>
        <w:color w:val="000000"/>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523AA4"/>
    <w:multiLevelType w:val="hybridMultilevel"/>
    <w:tmpl w:val="CBA28E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EF1513E"/>
    <w:multiLevelType w:val="hybridMultilevel"/>
    <w:tmpl w:val="62F49B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6F19A7"/>
    <w:multiLevelType w:val="hybridMultilevel"/>
    <w:tmpl w:val="2188D6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A335BB1"/>
    <w:multiLevelType w:val="hybridMultilevel"/>
    <w:tmpl w:val="F2F2BF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E362668"/>
    <w:multiLevelType w:val="hybridMultilevel"/>
    <w:tmpl w:val="3AF2E4E8"/>
    <w:lvl w:ilvl="0" w:tplc="764CB74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
  </w:num>
  <w:num w:numId="4">
    <w:abstractNumId w:val="0"/>
  </w:num>
  <w:num w:numId="5">
    <w:abstractNumId w:val="16"/>
  </w:num>
  <w:num w:numId="6">
    <w:abstractNumId w:val="3"/>
  </w:num>
  <w:num w:numId="7">
    <w:abstractNumId w:val="9"/>
  </w:num>
  <w:num w:numId="8">
    <w:abstractNumId w:val="12"/>
  </w:num>
  <w:num w:numId="9">
    <w:abstractNumId w:val="2"/>
  </w:num>
  <w:num w:numId="10">
    <w:abstractNumId w:val="5"/>
  </w:num>
  <w:num w:numId="11">
    <w:abstractNumId w:val="8"/>
  </w:num>
  <w:num w:numId="12">
    <w:abstractNumId w:val="4"/>
  </w:num>
  <w:num w:numId="13">
    <w:abstractNumId w:val="14"/>
  </w:num>
  <w:num w:numId="14">
    <w:abstractNumId w:val="13"/>
  </w:num>
  <w:num w:numId="15">
    <w:abstractNumId w:val="15"/>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8E"/>
    <w:rsid w:val="00020D57"/>
    <w:rsid w:val="00020F8F"/>
    <w:rsid w:val="000252DC"/>
    <w:rsid w:val="00027480"/>
    <w:rsid w:val="0006205F"/>
    <w:rsid w:val="0008002A"/>
    <w:rsid w:val="0009468E"/>
    <w:rsid w:val="000E3120"/>
    <w:rsid w:val="00112CC7"/>
    <w:rsid w:val="00133E81"/>
    <w:rsid w:val="00177AA8"/>
    <w:rsid w:val="00185AE8"/>
    <w:rsid w:val="001B0B44"/>
    <w:rsid w:val="001D18BC"/>
    <w:rsid w:val="0020743D"/>
    <w:rsid w:val="002077CA"/>
    <w:rsid w:val="002371AB"/>
    <w:rsid w:val="00242A41"/>
    <w:rsid w:val="00254E54"/>
    <w:rsid w:val="00261913"/>
    <w:rsid w:val="002950DE"/>
    <w:rsid w:val="002B2FB3"/>
    <w:rsid w:val="002B7A55"/>
    <w:rsid w:val="002E0CA3"/>
    <w:rsid w:val="0030204A"/>
    <w:rsid w:val="0030644E"/>
    <w:rsid w:val="00341DFF"/>
    <w:rsid w:val="00372078"/>
    <w:rsid w:val="003829BC"/>
    <w:rsid w:val="00390434"/>
    <w:rsid w:val="003A4AFE"/>
    <w:rsid w:val="003D5386"/>
    <w:rsid w:val="003E085D"/>
    <w:rsid w:val="0040426F"/>
    <w:rsid w:val="00424007"/>
    <w:rsid w:val="00455C5B"/>
    <w:rsid w:val="004B26D5"/>
    <w:rsid w:val="004B2E43"/>
    <w:rsid w:val="00501066"/>
    <w:rsid w:val="00516A97"/>
    <w:rsid w:val="00537BC7"/>
    <w:rsid w:val="00611672"/>
    <w:rsid w:val="00617AB8"/>
    <w:rsid w:val="00652193"/>
    <w:rsid w:val="00677DB7"/>
    <w:rsid w:val="0068491A"/>
    <w:rsid w:val="00696A77"/>
    <w:rsid w:val="006C3D4B"/>
    <w:rsid w:val="006C6B82"/>
    <w:rsid w:val="006C7CB1"/>
    <w:rsid w:val="006F02B8"/>
    <w:rsid w:val="006F165B"/>
    <w:rsid w:val="006F2AF2"/>
    <w:rsid w:val="007134DF"/>
    <w:rsid w:val="00720A2E"/>
    <w:rsid w:val="00742A35"/>
    <w:rsid w:val="007501D7"/>
    <w:rsid w:val="007547EA"/>
    <w:rsid w:val="00767418"/>
    <w:rsid w:val="00787548"/>
    <w:rsid w:val="007B51AE"/>
    <w:rsid w:val="007E46C1"/>
    <w:rsid w:val="007F4400"/>
    <w:rsid w:val="00800ECB"/>
    <w:rsid w:val="008244FB"/>
    <w:rsid w:val="00872FBA"/>
    <w:rsid w:val="008B5970"/>
    <w:rsid w:val="008B5E4C"/>
    <w:rsid w:val="008B70BA"/>
    <w:rsid w:val="008C0B16"/>
    <w:rsid w:val="008E2797"/>
    <w:rsid w:val="0090509B"/>
    <w:rsid w:val="00935506"/>
    <w:rsid w:val="009514ED"/>
    <w:rsid w:val="00957E80"/>
    <w:rsid w:val="00973E65"/>
    <w:rsid w:val="00976AD7"/>
    <w:rsid w:val="00981016"/>
    <w:rsid w:val="00995A8E"/>
    <w:rsid w:val="009A3F08"/>
    <w:rsid w:val="00A23C51"/>
    <w:rsid w:val="00A31A97"/>
    <w:rsid w:val="00A32584"/>
    <w:rsid w:val="00A3595D"/>
    <w:rsid w:val="00A61978"/>
    <w:rsid w:val="00A74C8E"/>
    <w:rsid w:val="00A94B74"/>
    <w:rsid w:val="00AB0061"/>
    <w:rsid w:val="00AB6E21"/>
    <w:rsid w:val="00AD7760"/>
    <w:rsid w:val="00AE1FA2"/>
    <w:rsid w:val="00B01757"/>
    <w:rsid w:val="00BA5EC7"/>
    <w:rsid w:val="00BA7FA9"/>
    <w:rsid w:val="00BB2909"/>
    <w:rsid w:val="00BB52A1"/>
    <w:rsid w:val="00BB6AEB"/>
    <w:rsid w:val="00BD16BE"/>
    <w:rsid w:val="00C11E41"/>
    <w:rsid w:val="00C1312D"/>
    <w:rsid w:val="00C17761"/>
    <w:rsid w:val="00C21DAC"/>
    <w:rsid w:val="00C32467"/>
    <w:rsid w:val="00C500BC"/>
    <w:rsid w:val="00C52BB2"/>
    <w:rsid w:val="00C52CAD"/>
    <w:rsid w:val="00C650AC"/>
    <w:rsid w:val="00C70CE3"/>
    <w:rsid w:val="00C80EF2"/>
    <w:rsid w:val="00C81AA1"/>
    <w:rsid w:val="00CA1E36"/>
    <w:rsid w:val="00CB7C83"/>
    <w:rsid w:val="00CC4EA8"/>
    <w:rsid w:val="00CF0CC0"/>
    <w:rsid w:val="00D1586A"/>
    <w:rsid w:val="00D36D73"/>
    <w:rsid w:val="00D45403"/>
    <w:rsid w:val="00D50D34"/>
    <w:rsid w:val="00D737C3"/>
    <w:rsid w:val="00D7391C"/>
    <w:rsid w:val="00D802C9"/>
    <w:rsid w:val="00D824EE"/>
    <w:rsid w:val="00DC4A88"/>
    <w:rsid w:val="00DC6D19"/>
    <w:rsid w:val="00DF7561"/>
    <w:rsid w:val="00E00565"/>
    <w:rsid w:val="00E222DF"/>
    <w:rsid w:val="00E24FB7"/>
    <w:rsid w:val="00E32DEF"/>
    <w:rsid w:val="00E428C1"/>
    <w:rsid w:val="00E70503"/>
    <w:rsid w:val="00E726F4"/>
    <w:rsid w:val="00E842EB"/>
    <w:rsid w:val="00EE1D8B"/>
    <w:rsid w:val="00EE1ECD"/>
    <w:rsid w:val="00F20C02"/>
    <w:rsid w:val="00F23553"/>
    <w:rsid w:val="00F466F5"/>
    <w:rsid w:val="00F52358"/>
    <w:rsid w:val="00F604F2"/>
    <w:rsid w:val="00F6428D"/>
    <w:rsid w:val="00F756E8"/>
    <w:rsid w:val="00FA74E6"/>
    <w:rsid w:val="00FB0481"/>
    <w:rsid w:val="00FC17E4"/>
    <w:rsid w:val="00FC29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C149"/>
  <w15:chartTrackingRefBased/>
  <w15:docId w15:val="{8F06B882-B359-415E-8746-5BFBED93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B2E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2DEF"/>
    <w:pPr>
      <w:ind w:left="720"/>
      <w:contextualSpacing/>
    </w:pPr>
  </w:style>
  <w:style w:type="character" w:styleId="Enfasigrassetto">
    <w:name w:val="Strong"/>
    <w:basedOn w:val="Carpredefinitoparagrafo"/>
    <w:uiPriority w:val="22"/>
    <w:qFormat/>
    <w:rsid w:val="006F2AF2"/>
    <w:rPr>
      <w:b/>
      <w:bCs/>
    </w:rPr>
  </w:style>
  <w:style w:type="paragraph" w:customStyle="1" w:styleId="Notaapidipagina">
    <w:name w:val="Nota a piè di pagina"/>
    <w:basedOn w:val="Normale"/>
    <w:rsid w:val="00981016"/>
    <w:pPr>
      <w:suppressAutoHyphens/>
      <w:spacing w:after="200" w:line="276" w:lineRule="auto"/>
    </w:pPr>
    <w:rPr>
      <w:rFonts w:ascii="Calibri" w:eastAsia="Calibri" w:hAnsi="Calibri" w:cs="Times New Roman"/>
      <w:sz w:val="20"/>
      <w:szCs w:val="20"/>
      <w:lang w:eastAsia="zh-CN"/>
    </w:rPr>
  </w:style>
  <w:style w:type="paragraph" w:styleId="Testonotaapidipagina">
    <w:name w:val="footnote text"/>
    <w:basedOn w:val="Normale"/>
    <w:link w:val="TestonotaapidipaginaCarattere"/>
    <w:uiPriority w:val="99"/>
    <w:semiHidden/>
    <w:unhideWhenUsed/>
    <w:rsid w:val="00BA5EC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A5EC7"/>
    <w:rPr>
      <w:sz w:val="20"/>
      <w:szCs w:val="20"/>
    </w:rPr>
  </w:style>
  <w:style w:type="character" w:customStyle="1" w:styleId="Titolo1Carattere">
    <w:name w:val="Titolo 1 Carattere"/>
    <w:basedOn w:val="Carpredefinitoparagrafo"/>
    <w:link w:val="Titolo1"/>
    <w:uiPriority w:val="9"/>
    <w:rsid w:val="004B2E43"/>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C32467"/>
    <w:rPr>
      <w:color w:val="0000FF"/>
      <w:u w:val="single"/>
    </w:rPr>
  </w:style>
  <w:style w:type="paragraph" w:styleId="Intestazione">
    <w:name w:val="header"/>
    <w:basedOn w:val="Normale"/>
    <w:link w:val="IntestazioneCarattere"/>
    <w:uiPriority w:val="99"/>
    <w:unhideWhenUsed/>
    <w:rsid w:val="008C0B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0B16"/>
  </w:style>
  <w:style w:type="paragraph" w:styleId="Pidipagina">
    <w:name w:val="footer"/>
    <w:basedOn w:val="Normale"/>
    <w:link w:val="PidipaginaCarattere"/>
    <w:uiPriority w:val="99"/>
    <w:unhideWhenUsed/>
    <w:rsid w:val="008C0B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0B16"/>
  </w:style>
  <w:style w:type="character" w:styleId="Menzionenonrisolta">
    <w:name w:val="Unresolved Mention"/>
    <w:basedOn w:val="Carpredefinitoparagrafo"/>
    <w:uiPriority w:val="99"/>
    <w:semiHidden/>
    <w:unhideWhenUsed/>
    <w:rsid w:val="007F4400"/>
    <w:rPr>
      <w:color w:val="605E5C"/>
      <w:shd w:val="clear" w:color="auto" w:fill="E1DFDD"/>
    </w:rPr>
  </w:style>
  <w:style w:type="character" w:styleId="Collegamentovisitato">
    <w:name w:val="FollowedHyperlink"/>
    <w:basedOn w:val="Carpredefinitoparagrafo"/>
    <w:uiPriority w:val="99"/>
    <w:semiHidden/>
    <w:unhideWhenUsed/>
    <w:rsid w:val="007F44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811355">
      <w:bodyDiv w:val="1"/>
      <w:marLeft w:val="0"/>
      <w:marRight w:val="0"/>
      <w:marTop w:val="0"/>
      <w:marBottom w:val="0"/>
      <w:divBdr>
        <w:top w:val="none" w:sz="0" w:space="0" w:color="auto"/>
        <w:left w:val="none" w:sz="0" w:space="0" w:color="auto"/>
        <w:bottom w:val="none" w:sz="0" w:space="0" w:color="auto"/>
        <w:right w:val="none" w:sz="0" w:space="0" w:color="auto"/>
      </w:divBdr>
    </w:div>
    <w:div w:id="1051154485">
      <w:bodyDiv w:val="1"/>
      <w:marLeft w:val="0"/>
      <w:marRight w:val="0"/>
      <w:marTop w:val="0"/>
      <w:marBottom w:val="0"/>
      <w:divBdr>
        <w:top w:val="none" w:sz="0" w:space="0" w:color="auto"/>
        <w:left w:val="none" w:sz="0" w:space="0" w:color="auto"/>
        <w:bottom w:val="none" w:sz="0" w:space="0" w:color="auto"/>
        <w:right w:val="none" w:sz="0" w:space="0" w:color="auto"/>
      </w:divBdr>
    </w:div>
    <w:div w:id="139396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corruzione.it/portal/public/classic/MenuServizio/FAQ/Anticorruzio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teconti.it/HOME/Documenti/DettaglioDocumenti?Id=dbe3066c-699f-491b-9e15-2df7bd613c7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rteconti.it/HOME/Documenti/DettaglioDocumenti?Id=38472062-f296-474b-b88b-e08d51948cd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ACABB-992F-4030-B3C3-C63D3A17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8861</Words>
  <Characters>50510</Characters>
  <Application>Microsoft Office Word</Application>
  <DocSecurity>0</DocSecurity>
  <Lines>420</Lines>
  <Paragraphs>118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pablo.pellegrini</dc:creator>
  <cp:keywords/>
  <dc:description/>
  <cp:lastModifiedBy>Roberto Orempuller</cp:lastModifiedBy>
  <cp:revision>3</cp:revision>
  <cp:lastPrinted>2021-03-24T14:31:00Z</cp:lastPrinted>
  <dcterms:created xsi:type="dcterms:W3CDTF">2021-03-30T22:56:00Z</dcterms:created>
  <dcterms:modified xsi:type="dcterms:W3CDTF">2021-03-30T23:21:00Z</dcterms:modified>
</cp:coreProperties>
</file>